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194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《无锡市零碳园区建设三年行动方案</w:t>
      </w:r>
    </w:p>
    <w:p w14:paraId="49B8D8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（2025—2027年）》政策解读</w:t>
      </w:r>
    </w:p>
    <w:p w14:paraId="387574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建设零碳园区对提升企业和产品的绿色竞争力，加速工业结构及能源结构转型步伐，推动经济社会发展全面绿色转型具有重要意义。2025年国务院政府工作报告提出“建立一批零碳园区、零碳工厂”。《江苏省加快经济社会发展全面绿色转型2025年重点任务清单》提出，今年要建设10家以上零碳（近零碳）园区。近日，为深入贯彻落实国家、省关于零碳园区建设工作的部署，我市出台实施《无锡市零碳园区建设三年行动方案（2025-2027年）》（以下简称《行动方案》）。</w:t>
      </w:r>
    </w:p>
    <w:p w14:paraId="235369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  <w:t>　　一、建设思路</w:t>
      </w:r>
    </w:p>
    <w:p w14:paraId="478174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《行动方案》按照“改革创新、先行先试”“系统谋划、分步实施”“双轮驱动、协同推进”的思路，有序推进实施零碳园区建设各项重点工作任务。</w:t>
      </w:r>
    </w:p>
    <w:p w14:paraId="7FE466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一是坚持改革创新、先行先试。强化科技创新对节能减排降碳的支撑作用，鼓励支持有条件的园区构建零碳智慧产业新生态、能源新格局和智慧管理新平台，在地方碳考核、行业碳管控、企业碳管理、项目碳评价、产品碳足迹等方面先行先试，探索零碳招商、零碳供应链、零碳产品创新，发挥市场机制作用，形成有效激励约束机制。</w:t>
      </w:r>
    </w:p>
    <w:p w14:paraId="137CE31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二是坚持系统谋划、分步实施。立足眼前，着眼长远，分阶段分步骤提出零碳园区建设三年目标任务，即保持即期目标和远期目标的有机衔接，又将零碳转型与经济发展、技术进步、产业升级有机结合，以园区为载体率先推动能耗双控逐步转向碳排放双控，循序渐进实现零碳目标。</w:t>
      </w:r>
    </w:p>
    <w:p w14:paraId="280A8A9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三是坚持双轮驱动、协同推进。坚持有为政府和有效市场结合。发挥政府引导作用，强化对零碳园区建设的政策支持，完善激励机制，通过良性的反馈机制提升园区和企业零碳转型发展动力。发挥市场主导作用，强化企业建设主体地位，鼓励社会多方参与，实现项目共建、资源共享，通过有效协同创造良好经济效益和社会效益。</w:t>
      </w:r>
    </w:p>
    <w:p w14:paraId="507643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  <w:t>　　二、建设目标</w:t>
      </w:r>
    </w:p>
    <w:p w14:paraId="6151E7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《行动方案》分阶段提出零碳园区建设目标任务。2025年，遴选15家基础较好、意愿较强、潜力较大的园区开展零碳园区建设，13家工厂开展零碳工厂建设，推动8个源网荷储一体化项目建设，培育8家注册虚拟电厂，引进5家省级以上绿色低碳相关创新平台（工程中心、重点实验室、新研机构等）。到2027年底，完成10家以上零碳园区项目的建设与验收，建成20家以上零碳工厂，建成10个以上源网荷储一体化项目，培育20家注册虚拟电厂，引进10家省级以上绿色低碳相关创新平台（工程中心、重点实验室、新研机构等）。</w:t>
      </w:r>
    </w:p>
    <w:p w14:paraId="3AD8BA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  <w:t>　　三、实施路径</w:t>
      </w:r>
    </w:p>
    <w:p w14:paraId="4B3D6F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《行动方案》提出，以打造零碳园区为主要任务，围绕能效水平标杆化、生产过程清洁化、能源供给零碳化、基础设施绿色化、资源利用循环化、运营管理数智化6个方面开展建设工作，大力发展绿色低碳产业，构建零碳化能源供应体系，加快突破零碳关键技术，推动基础设施绿色化转型，优化资源循环利用效率，提升能碳数智化管理水平。同步推进零碳工厂、源网荷储一体化项目、虚拟电厂、零碳服务机构4大配套行动。建立“1+4”工作体系，着力构建以园区为主阵地的零碳产业生态体系，以点带面推动全市经济社会发展加快绿色转型。</w:t>
      </w:r>
    </w:p>
    <w:p w14:paraId="4D4E41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  <w:t>　　四、保障措施</w:t>
      </w:r>
    </w:p>
    <w:p w14:paraId="1514D0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《行动方案》要求，零碳园区建设工作由市发展改革委统筹协调，牵头负责零碳园区、源网荷储一体化项目、虚拟电厂建设工作。市工业和信息化局牵头负责零碳工厂建设工作。市科技局牵头负责零碳服务机构建设工作。对列入无锡市零碳园区培育计划的园区，结合特色产业园区建设发展相关政策予以支持。按照绩效评价结果，市级以“拨改转”方式给予最高500万元的奖励，可与特色产业园奖补政策重复享受。按照组织申报、评审选拔、公示确认、建设实施、项目验收、总结评估、复核提升的工作步骤，有序开展零碳园区、零碳工厂、源网荷储一体化项目、虚拟电厂、零碳服务机构的建设工作。建立零碳园区梯队培养机制，鼓励符合条件的园区按照“市级—省级—国家级”梯队创建零碳园区。加强全流程跟踪评估，推动建成投运项目不断优化提升，打造一批特色鲜明、指标科学、有复制推广价值的试点。</w:t>
      </w:r>
    </w:p>
    <w:p w14:paraId="12A8E77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00" w:leftChars="0" w:firstLine="0" w:firstLineChars="0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0"/>
          <w:szCs w:val="30"/>
        </w:rPr>
        <w:t>指标体系</w:t>
      </w:r>
    </w:p>
    <w:p w14:paraId="779B4F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《行动方案》结合国家、省关于零碳园区建设的相关评价指标要求，按照约束性指标、重要参考指标、激励性指标三类，提出了31项无锡市零碳园区评价指标。</w:t>
      </w:r>
    </w:p>
    <w:p w14:paraId="6BFAB0B0">
      <w:pPr>
        <w:adjustRightInd w:val="0"/>
        <w:snapToGrid w:val="0"/>
        <w:spacing w:line="560" w:lineRule="exact"/>
        <w:jc w:val="center"/>
        <w:rPr>
          <w:rFonts w:hint="eastAsia" w:asci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 w:cs="方正小标宋_GBK"/>
          <w:color w:val="000000"/>
          <w:sz w:val="44"/>
          <w:szCs w:val="44"/>
        </w:rPr>
        <w:t>无锡市零碳园区评价指标体系</w:t>
      </w:r>
    </w:p>
    <w:p w14:paraId="4BA2809B">
      <w:pPr>
        <w:adjustRightInd w:val="0"/>
        <w:snapToGrid w:val="0"/>
        <w:spacing w:line="560" w:lineRule="exact"/>
        <w:rPr>
          <w:rFonts w:ascii="Calibri" w:hAnsi="Calibri" w:eastAsia="宋体"/>
          <w:color w:val="000000"/>
          <w:sz w:val="21"/>
          <w:szCs w:val="2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36"/>
        <w:gridCol w:w="4364"/>
        <w:gridCol w:w="992"/>
        <w:gridCol w:w="993"/>
        <w:gridCol w:w="1134"/>
      </w:tblGrid>
      <w:tr w14:paraId="2563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720" w:type="dxa"/>
            <w:noWrap w:val="0"/>
            <w:vAlign w:val="center"/>
          </w:tcPr>
          <w:p w14:paraId="43E57F21">
            <w:pPr>
              <w:spacing w:line="440" w:lineRule="exact"/>
              <w:jc w:val="center"/>
              <w:rPr>
                <w:rFonts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cs="Arial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36" w:type="dxa"/>
            <w:noWrap w:val="0"/>
            <w:vAlign w:val="center"/>
          </w:tcPr>
          <w:p w14:paraId="19993573">
            <w:pPr>
              <w:spacing w:line="440" w:lineRule="exact"/>
              <w:jc w:val="center"/>
              <w:rPr>
                <w:rFonts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cs="Arial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4364" w:type="dxa"/>
            <w:noWrap w:val="0"/>
            <w:vAlign w:val="center"/>
          </w:tcPr>
          <w:p w14:paraId="26E0B00B">
            <w:pPr>
              <w:spacing w:line="440" w:lineRule="exact"/>
              <w:jc w:val="center"/>
              <w:rPr>
                <w:rFonts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cs="Arial"/>
                <w:color w:val="000000"/>
                <w:sz w:val="24"/>
                <w:szCs w:val="24"/>
              </w:rPr>
              <w:t>具体指标</w:t>
            </w:r>
          </w:p>
        </w:tc>
        <w:tc>
          <w:tcPr>
            <w:tcW w:w="992" w:type="dxa"/>
            <w:noWrap w:val="0"/>
            <w:vAlign w:val="center"/>
          </w:tcPr>
          <w:p w14:paraId="30A32C2C">
            <w:pPr>
              <w:spacing w:line="440" w:lineRule="exact"/>
              <w:jc w:val="center"/>
              <w:rPr>
                <w:rFonts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cs="Arial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93" w:type="dxa"/>
            <w:noWrap w:val="0"/>
            <w:vAlign w:val="center"/>
          </w:tcPr>
          <w:p w14:paraId="27FD1A33">
            <w:pPr>
              <w:spacing w:line="440" w:lineRule="exact"/>
              <w:jc w:val="center"/>
              <w:rPr>
                <w:rFonts w:hint="eastAsia"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黑体_GBK" w:cs="Arial"/>
                <w:color w:val="000000"/>
                <w:sz w:val="24"/>
                <w:szCs w:val="24"/>
              </w:rPr>
              <w:t>近期</w:t>
            </w:r>
          </w:p>
          <w:p w14:paraId="54B5870B">
            <w:pPr>
              <w:spacing w:line="440" w:lineRule="exact"/>
              <w:jc w:val="center"/>
              <w:rPr>
                <w:rFonts w:hint="eastAsia"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cs="Arial"/>
                <w:color w:val="000000"/>
                <w:sz w:val="24"/>
                <w:szCs w:val="24"/>
              </w:rPr>
              <w:t>目标</w:t>
            </w:r>
          </w:p>
        </w:tc>
        <w:tc>
          <w:tcPr>
            <w:tcW w:w="1134" w:type="dxa"/>
            <w:noWrap w:val="0"/>
            <w:vAlign w:val="center"/>
          </w:tcPr>
          <w:p w14:paraId="3745E10F">
            <w:pPr>
              <w:spacing w:line="440" w:lineRule="exact"/>
              <w:jc w:val="center"/>
              <w:rPr>
                <w:rFonts w:hint="eastAsia"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黑体_GBK" w:cs="Arial"/>
                <w:color w:val="000000"/>
                <w:sz w:val="24"/>
                <w:szCs w:val="24"/>
              </w:rPr>
              <w:t>远期</w:t>
            </w:r>
          </w:p>
          <w:p w14:paraId="63E339EB">
            <w:pPr>
              <w:spacing w:line="440" w:lineRule="exact"/>
              <w:jc w:val="center"/>
              <w:rPr>
                <w:rFonts w:hint="eastAsia" w:ascii="Times New Roman" w:eastAsia="方正黑体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cs="Arial"/>
                <w:color w:val="000000"/>
                <w:sz w:val="24"/>
                <w:szCs w:val="24"/>
              </w:rPr>
              <w:t>目标</w:t>
            </w:r>
          </w:p>
        </w:tc>
      </w:tr>
      <w:tr w14:paraId="3C3D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9B9CA24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0E6BB2BB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约束性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指标</w:t>
            </w:r>
          </w:p>
        </w:tc>
        <w:tc>
          <w:tcPr>
            <w:tcW w:w="4364" w:type="dxa"/>
            <w:noWrap w:val="0"/>
            <w:vAlign w:val="center"/>
          </w:tcPr>
          <w:p w14:paraId="5A0F2E6A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园区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建设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规模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2AD632CC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市级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零碳园区不作限制，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但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需有明确的四至边界；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省级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零碳园区原则上应列入《中国开发区审核公告目录》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；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国家零碳园区在列入《中国开发区审核公告目录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》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的基础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上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，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综合能源消费量需</w:t>
            </w: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≥20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万吨</w:t>
            </w:r>
            <w:r>
              <w:rPr>
                <w:rFonts w:ascii="Times New Roman" w:hAnsi="Traditional Arabic" w:eastAsia="方正仿宋_GBK" w:cs="Arial"/>
                <w:color w:val="000000"/>
                <w:sz w:val="24"/>
                <w:szCs w:val="24"/>
              </w:rPr>
              <w:t>标准</w:t>
            </w:r>
            <w:r>
              <w:rPr>
                <w:rFonts w:hint="eastAsia" w:ascii="Times New Roman" w:hAnsi="Traditional Arabic" w:eastAsia="方正仿宋_GBK" w:cs="Arial"/>
                <w:color w:val="000000"/>
                <w:sz w:val="24"/>
                <w:szCs w:val="24"/>
              </w:rPr>
              <w:t>煤</w:t>
            </w:r>
          </w:p>
        </w:tc>
      </w:tr>
      <w:tr w14:paraId="59A7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0" w:type="dxa"/>
            <w:vMerge w:val="restart"/>
            <w:noWrap w:val="0"/>
            <w:vAlign w:val="center"/>
          </w:tcPr>
          <w:p w14:paraId="50C90B52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5BAAB80B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vMerge w:val="restart"/>
            <w:noWrap w:val="0"/>
            <w:vAlign w:val="center"/>
          </w:tcPr>
          <w:p w14:paraId="573B6FEE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单位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能耗碳排放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367EA7B6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吨/吨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标准煤</w:t>
            </w:r>
          </w:p>
        </w:tc>
        <w:tc>
          <w:tcPr>
            <w:tcW w:w="993" w:type="dxa"/>
            <w:vMerge w:val="restart"/>
            <w:noWrap w:val="0"/>
            <w:vAlign w:val="center"/>
          </w:tcPr>
          <w:p w14:paraId="3349689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≤1</w:t>
            </w:r>
          </w:p>
        </w:tc>
        <w:tc>
          <w:tcPr>
            <w:tcW w:w="1134" w:type="dxa"/>
            <w:noWrap w:val="0"/>
            <w:vAlign w:val="center"/>
          </w:tcPr>
          <w:p w14:paraId="564DB8D2">
            <w:pPr>
              <w:spacing w:line="44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≤0.2（年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综合能源消费量</w:t>
            </w: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＜100万吨）</w:t>
            </w:r>
          </w:p>
        </w:tc>
      </w:tr>
      <w:tr w14:paraId="61E9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0" w:type="dxa"/>
            <w:vMerge w:val="continue"/>
            <w:noWrap w:val="0"/>
            <w:vAlign w:val="center"/>
          </w:tcPr>
          <w:p w14:paraId="3BE274C0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vMerge w:val="continue"/>
            <w:noWrap w:val="0"/>
            <w:vAlign w:val="center"/>
          </w:tcPr>
          <w:p w14:paraId="3E4EFCFA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vMerge w:val="continue"/>
            <w:noWrap w:val="0"/>
            <w:vAlign w:val="center"/>
          </w:tcPr>
          <w:p w14:paraId="6F7B5458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5A3DDB27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 w14:paraId="44ECB511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D9C25E8">
            <w:pPr>
              <w:spacing w:line="44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≤0.3（年综合能源消费量≥100万吨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）</w:t>
            </w:r>
          </w:p>
        </w:tc>
      </w:tr>
      <w:tr w14:paraId="4D74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058F15F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2A21A2F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01E11D47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单位工业增加值综合能耗（当量值）</w:t>
            </w:r>
          </w:p>
        </w:tc>
        <w:tc>
          <w:tcPr>
            <w:tcW w:w="992" w:type="dxa"/>
            <w:noWrap w:val="0"/>
            <w:vAlign w:val="center"/>
          </w:tcPr>
          <w:p w14:paraId="279E09C3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tce/万元</w:t>
            </w:r>
          </w:p>
        </w:tc>
        <w:tc>
          <w:tcPr>
            <w:tcW w:w="993" w:type="dxa"/>
            <w:noWrap w:val="0"/>
            <w:vAlign w:val="center"/>
          </w:tcPr>
          <w:p w14:paraId="75A75109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134" w:type="dxa"/>
            <w:noWrap w:val="0"/>
            <w:vAlign w:val="center"/>
          </w:tcPr>
          <w:p w14:paraId="41AC88FA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0.25</w:t>
            </w:r>
          </w:p>
        </w:tc>
      </w:tr>
      <w:tr w14:paraId="024A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6F8E5055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4DCA27D4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40C893F2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单位工业增加值二氧化碳排放量</w:t>
            </w:r>
          </w:p>
        </w:tc>
        <w:tc>
          <w:tcPr>
            <w:tcW w:w="992" w:type="dxa"/>
            <w:noWrap w:val="0"/>
            <w:vAlign w:val="center"/>
          </w:tcPr>
          <w:p w14:paraId="289E33B2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tCO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/万元</w:t>
            </w:r>
          </w:p>
        </w:tc>
        <w:tc>
          <w:tcPr>
            <w:tcW w:w="993" w:type="dxa"/>
            <w:noWrap w:val="0"/>
            <w:vAlign w:val="center"/>
          </w:tcPr>
          <w:p w14:paraId="1D75082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134" w:type="dxa"/>
            <w:noWrap w:val="0"/>
            <w:vAlign w:val="center"/>
          </w:tcPr>
          <w:p w14:paraId="18D2DA0E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0.1</w:t>
            </w:r>
          </w:p>
        </w:tc>
      </w:tr>
      <w:tr w14:paraId="238BD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020BB7F9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46C5D757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41575003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非化石能源消费占比</w:t>
            </w:r>
          </w:p>
        </w:tc>
        <w:tc>
          <w:tcPr>
            <w:tcW w:w="992" w:type="dxa"/>
            <w:noWrap w:val="0"/>
            <w:vAlign w:val="center"/>
          </w:tcPr>
          <w:p w14:paraId="08C754DC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0C5703E2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noWrap w:val="0"/>
            <w:vAlign w:val="center"/>
          </w:tcPr>
          <w:p w14:paraId="4FD82583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80</w:t>
            </w:r>
          </w:p>
        </w:tc>
      </w:tr>
      <w:tr w14:paraId="40A1A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31EE2A6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263AC69A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重要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参考指标</w:t>
            </w:r>
          </w:p>
        </w:tc>
        <w:tc>
          <w:tcPr>
            <w:tcW w:w="4364" w:type="dxa"/>
            <w:noWrap w:val="0"/>
            <w:vAlign w:val="center"/>
          </w:tcPr>
          <w:p w14:paraId="7C975861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参</w:t>
            </w:r>
            <w:r>
              <w:rPr>
                <w:rFonts w:hint="eastAsia" w:ascii="方正仿宋_GBK" w:eastAsia="方正仿宋_GBK" w:cs="Arial"/>
                <w:color w:val="000000"/>
                <w:sz w:val="24"/>
                <w:szCs w:val="24"/>
              </w:rPr>
              <w:t>与“智改数转网联”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诊断企业数量占比</w:t>
            </w:r>
          </w:p>
        </w:tc>
        <w:tc>
          <w:tcPr>
            <w:tcW w:w="992" w:type="dxa"/>
            <w:noWrap w:val="0"/>
            <w:vAlign w:val="center"/>
          </w:tcPr>
          <w:p w14:paraId="70E74EF9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5555B33D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noWrap w:val="0"/>
            <w:vAlign w:val="center"/>
          </w:tcPr>
          <w:p w14:paraId="7ECD5D4A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</w:tr>
      <w:tr w14:paraId="1FF9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A8DCB4D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6B186920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650E22F4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企业能效水平达到行业标杆比例</w:t>
            </w:r>
          </w:p>
        </w:tc>
        <w:tc>
          <w:tcPr>
            <w:tcW w:w="992" w:type="dxa"/>
            <w:noWrap w:val="0"/>
            <w:vAlign w:val="center"/>
          </w:tcPr>
          <w:p w14:paraId="7167B69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110705B2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noWrap w:val="0"/>
            <w:vAlign w:val="center"/>
          </w:tcPr>
          <w:p w14:paraId="2820C84D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100</w:t>
            </w:r>
          </w:p>
        </w:tc>
      </w:tr>
      <w:tr w14:paraId="7483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61C6E716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15560C18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7156A525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开展碳足迹核算认证企业占比</w:t>
            </w:r>
          </w:p>
        </w:tc>
        <w:tc>
          <w:tcPr>
            <w:tcW w:w="992" w:type="dxa"/>
            <w:noWrap w:val="0"/>
            <w:vAlign w:val="center"/>
          </w:tcPr>
          <w:p w14:paraId="1817DF9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779A4E6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1EBC82CC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</w:tr>
      <w:tr w14:paraId="32DE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400A46FC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51E6E5E9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24EA6C0E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规上企业环境信息披露率</w:t>
            </w:r>
          </w:p>
        </w:tc>
        <w:tc>
          <w:tcPr>
            <w:tcW w:w="992" w:type="dxa"/>
            <w:noWrap w:val="0"/>
            <w:vAlign w:val="center"/>
          </w:tcPr>
          <w:p w14:paraId="64925F4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37308674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noWrap w:val="0"/>
            <w:vAlign w:val="center"/>
          </w:tcPr>
          <w:p w14:paraId="7D5C1E20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80</w:t>
            </w:r>
          </w:p>
        </w:tc>
      </w:tr>
      <w:tr w14:paraId="42E5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37BDDDAD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4D4CE807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0D4A9896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绿色工厂、绿色供应链企业占比</w:t>
            </w:r>
          </w:p>
        </w:tc>
        <w:tc>
          <w:tcPr>
            <w:tcW w:w="992" w:type="dxa"/>
            <w:noWrap w:val="0"/>
            <w:vAlign w:val="center"/>
          </w:tcPr>
          <w:p w14:paraId="7B80CA58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29B2969B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6BDB4E68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30</w:t>
            </w:r>
          </w:p>
        </w:tc>
      </w:tr>
      <w:tr w14:paraId="6617D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6AA3E79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418E1EC7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671769AB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开展碳排放核查企业占比</w:t>
            </w:r>
          </w:p>
        </w:tc>
        <w:tc>
          <w:tcPr>
            <w:tcW w:w="992" w:type="dxa"/>
            <w:noWrap w:val="0"/>
            <w:vAlign w:val="center"/>
          </w:tcPr>
          <w:p w14:paraId="65BDB21E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6F7FD62F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0C724D8B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</w:tr>
      <w:tr w14:paraId="6EDC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157DC84E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65EAD26C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70831930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省级以上绿色低碳相关创新平台（工程中心、重点实验室、新研机构等）</w:t>
            </w:r>
          </w:p>
        </w:tc>
        <w:tc>
          <w:tcPr>
            <w:tcW w:w="992" w:type="dxa"/>
            <w:noWrap w:val="0"/>
            <w:vAlign w:val="center"/>
          </w:tcPr>
          <w:p w14:paraId="72E9D587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93" w:type="dxa"/>
            <w:noWrap w:val="0"/>
            <w:vAlign w:val="center"/>
          </w:tcPr>
          <w:p w14:paraId="4507F8A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70F2A55E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2</w:t>
            </w:r>
          </w:p>
        </w:tc>
      </w:tr>
      <w:tr w14:paraId="1C1D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70FBCF8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24577CB1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33C43EB5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一般工业固体废物综合利用率</w:t>
            </w:r>
          </w:p>
        </w:tc>
        <w:tc>
          <w:tcPr>
            <w:tcW w:w="992" w:type="dxa"/>
            <w:noWrap w:val="0"/>
            <w:vAlign w:val="center"/>
          </w:tcPr>
          <w:p w14:paraId="15D734E9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14D7A37E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  <w:noWrap w:val="0"/>
            <w:vAlign w:val="center"/>
          </w:tcPr>
          <w:p w14:paraId="41DBDBF7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99</w:t>
            </w:r>
          </w:p>
        </w:tc>
      </w:tr>
      <w:tr w14:paraId="4467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770157C7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7E1246FB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28AC474F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工业用水重复利用率</w:t>
            </w:r>
          </w:p>
        </w:tc>
        <w:tc>
          <w:tcPr>
            <w:tcW w:w="992" w:type="dxa"/>
            <w:noWrap w:val="0"/>
            <w:vAlign w:val="center"/>
          </w:tcPr>
          <w:p w14:paraId="5967504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4D55545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  <w:noWrap w:val="0"/>
            <w:vAlign w:val="center"/>
          </w:tcPr>
          <w:p w14:paraId="455915E2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90</w:t>
            </w:r>
          </w:p>
        </w:tc>
      </w:tr>
      <w:tr w14:paraId="7042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59315DBD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15DAE373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4FDCEBFC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工业余热回收利用率</w:t>
            </w:r>
          </w:p>
        </w:tc>
        <w:tc>
          <w:tcPr>
            <w:tcW w:w="992" w:type="dxa"/>
            <w:noWrap w:val="0"/>
            <w:vAlign w:val="center"/>
          </w:tcPr>
          <w:p w14:paraId="4B6EC294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3EE9B488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  <w:noWrap w:val="0"/>
            <w:vAlign w:val="center"/>
          </w:tcPr>
          <w:p w14:paraId="73744FFC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95</w:t>
            </w:r>
          </w:p>
        </w:tc>
      </w:tr>
      <w:tr w14:paraId="5E18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605B87D7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30693552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187954F9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新建建筑中二星及以上绿色建筑占比</w:t>
            </w:r>
          </w:p>
        </w:tc>
        <w:tc>
          <w:tcPr>
            <w:tcW w:w="992" w:type="dxa"/>
            <w:noWrap w:val="0"/>
            <w:vAlign w:val="center"/>
          </w:tcPr>
          <w:p w14:paraId="156A910D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3B979E67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noWrap w:val="0"/>
            <w:vAlign w:val="center"/>
          </w:tcPr>
          <w:p w14:paraId="37D8E387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100</w:t>
            </w:r>
          </w:p>
        </w:tc>
      </w:tr>
      <w:tr w14:paraId="41FC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7B455F69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25C565C6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488691D5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园区新能源、清洁能源动力交通工具</w:t>
            </w:r>
          </w:p>
          <w:p w14:paraId="2416E4B4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保有量占比</w:t>
            </w:r>
          </w:p>
        </w:tc>
        <w:tc>
          <w:tcPr>
            <w:tcW w:w="992" w:type="dxa"/>
            <w:noWrap w:val="0"/>
            <w:vAlign w:val="center"/>
          </w:tcPr>
          <w:p w14:paraId="06517EA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10803F84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noWrap w:val="0"/>
            <w:vAlign w:val="center"/>
          </w:tcPr>
          <w:p w14:paraId="5E3187F1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100</w:t>
            </w:r>
          </w:p>
        </w:tc>
      </w:tr>
      <w:tr w14:paraId="6968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4A393650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1BEEF9BF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14F2DA82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货物清洁运输比例</w:t>
            </w:r>
          </w:p>
        </w:tc>
        <w:tc>
          <w:tcPr>
            <w:tcW w:w="992" w:type="dxa"/>
            <w:noWrap w:val="0"/>
            <w:vAlign w:val="center"/>
          </w:tcPr>
          <w:p w14:paraId="42D02E67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6D28078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noWrap w:val="0"/>
            <w:vAlign w:val="center"/>
          </w:tcPr>
          <w:p w14:paraId="16A684DF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100</w:t>
            </w:r>
          </w:p>
        </w:tc>
      </w:tr>
      <w:tr w14:paraId="00829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4B0D6F68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44F2E721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347F8812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可再生电力消费占比（含绿证）</w:t>
            </w:r>
          </w:p>
        </w:tc>
        <w:tc>
          <w:tcPr>
            <w:tcW w:w="992" w:type="dxa"/>
            <w:noWrap w:val="0"/>
            <w:vAlign w:val="center"/>
          </w:tcPr>
          <w:p w14:paraId="48CB67F8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0C5C7F5C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6C77753E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70</w:t>
            </w:r>
          </w:p>
        </w:tc>
      </w:tr>
      <w:tr w14:paraId="283B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112652FA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33629EDF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44A8C306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终端电气化率</w:t>
            </w:r>
          </w:p>
        </w:tc>
        <w:tc>
          <w:tcPr>
            <w:tcW w:w="992" w:type="dxa"/>
            <w:noWrap w:val="0"/>
            <w:vAlign w:val="center"/>
          </w:tcPr>
          <w:p w14:paraId="3AADF30B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2FF2114B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noWrap w:val="0"/>
            <w:vAlign w:val="center"/>
          </w:tcPr>
          <w:p w14:paraId="055323C1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70</w:t>
            </w:r>
          </w:p>
        </w:tc>
      </w:tr>
      <w:tr w14:paraId="20E6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4C9CEF78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76AAB463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61126AB6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绿色低碳技术研究与试验发展经费投入强度</w:t>
            </w:r>
          </w:p>
        </w:tc>
        <w:tc>
          <w:tcPr>
            <w:tcW w:w="992" w:type="dxa"/>
            <w:noWrap w:val="0"/>
            <w:vAlign w:val="center"/>
          </w:tcPr>
          <w:p w14:paraId="5EFF7D63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45F6DB4B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.5</w:t>
            </w:r>
          </w:p>
        </w:tc>
        <w:tc>
          <w:tcPr>
            <w:tcW w:w="1134" w:type="dxa"/>
            <w:noWrap w:val="0"/>
            <w:vAlign w:val="center"/>
          </w:tcPr>
          <w:p w14:paraId="7F102C0E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4</w:t>
            </w:r>
          </w:p>
        </w:tc>
      </w:tr>
      <w:tr w14:paraId="3CFE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135FC02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5BE2FA6F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激励性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指标</w:t>
            </w:r>
          </w:p>
        </w:tc>
        <w:tc>
          <w:tcPr>
            <w:tcW w:w="4364" w:type="dxa"/>
            <w:noWrap w:val="0"/>
            <w:vAlign w:val="center"/>
          </w:tcPr>
          <w:p w14:paraId="21AD8F83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清洁生产审核企业数量占比</w:t>
            </w:r>
          </w:p>
        </w:tc>
        <w:tc>
          <w:tcPr>
            <w:tcW w:w="992" w:type="dxa"/>
            <w:noWrap w:val="0"/>
            <w:vAlign w:val="center"/>
          </w:tcPr>
          <w:p w14:paraId="194B108B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17CD8DC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noWrap w:val="0"/>
            <w:vAlign w:val="center"/>
          </w:tcPr>
          <w:p w14:paraId="191C98BC">
            <w:pPr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100</w:t>
            </w:r>
          </w:p>
        </w:tc>
      </w:tr>
      <w:tr w14:paraId="2E72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43455BCD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1DE74469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2FB4E273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园区内电力需求响应能力</w:t>
            </w:r>
          </w:p>
        </w:tc>
        <w:tc>
          <w:tcPr>
            <w:tcW w:w="992" w:type="dxa"/>
            <w:noWrap w:val="0"/>
            <w:vAlign w:val="center"/>
          </w:tcPr>
          <w:p w14:paraId="2E7C6E3E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1488FBD7">
            <w:pPr>
              <w:spacing w:line="34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≥日均用电量的8%</w:t>
            </w:r>
          </w:p>
        </w:tc>
        <w:tc>
          <w:tcPr>
            <w:tcW w:w="1134" w:type="dxa"/>
            <w:noWrap w:val="0"/>
            <w:vAlign w:val="center"/>
          </w:tcPr>
          <w:p w14:paraId="753AEB78">
            <w:pPr>
              <w:spacing w:line="34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≥最大用电负</w:t>
            </w:r>
            <w:r>
              <w:rPr>
                <w:rFonts w:hint="eastAsia" w:ascii="Times New Roman" w:eastAsia="方正仿宋_GBK" w:cs="Arial"/>
                <w:color w:val="000000"/>
                <w:spacing w:val="-6"/>
                <w:sz w:val="24"/>
                <w:szCs w:val="24"/>
              </w:rPr>
              <w:t>荷的10%</w:t>
            </w:r>
          </w:p>
        </w:tc>
      </w:tr>
      <w:tr w14:paraId="1DC3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13E5487A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65F77D87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1EFAB3E3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园区内储能容量</w:t>
            </w:r>
          </w:p>
        </w:tc>
        <w:tc>
          <w:tcPr>
            <w:tcW w:w="992" w:type="dxa"/>
            <w:noWrap w:val="0"/>
            <w:vAlign w:val="center"/>
          </w:tcPr>
          <w:p w14:paraId="1477F795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5FE1799E">
            <w:pPr>
              <w:spacing w:line="34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≥日均用电量的8%</w:t>
            </w:r>
          </w:p>
        </w:tc>
        <w:tc>
          <w:tcPr>
            <w:tcW w:w="1134" w:type="dxa"/>
            <w:noWrap w:val="0"/>
            <w:vAlign w:val="center"/>
          </w:tcPr>
          <w:p w14:paraId="1054467F">
            <w:pPr>
              <w:spacing w:line="34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≥日均用电量的10%</w:t>
            </w:r>
          </w:p>
        </w:tc>
      </w:tr>
      <w:tr w14:paraId="3E70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44D3AB9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5BB15D82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650D9279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可利用建筑屋顶光伏覆盖率</w:t>
            </w:r>
          </w:p>
        </w:tc>
        <w:tc>
          <w:tcPr>
            <w:tcW w:w="992" w:type="dxa"/>
            <w:noWrap w:val="0"/>
            <w:vAlign w:val="center"/>
          </w:tcPr>
          <w:p w14:paraId="23480AE9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35DE0652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≥50%</w:t>
            </w:r>
          </w:p>
        </w:tc>
        <w:tc>
          <w:tcPr>
            <w:tcW w:w="1134" w:type="dxa"/>
            <w:noWrap w:val="0"/>
            <w:vAlign w:val="center"/>
          </w:tcPr>
          <w:p w14:paraId="4DA18541">
            <w:pPr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≥75%</w:t>
            </w:r>
          </w:p>
        </w:tc>
      </w:tr>
      <w:tr w14:paraId="5DF4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4F3B594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0C44D038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506A8B78">
            <w:pPr>
              <w:spacing w:line="300" w:lineRule="exact"/>
              <w:jc w:val="left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智能管理平台对园区企业的覆盖范围</w:t>
            </w:r>
          </w:p>
        </w:tc>
        <w:tc>
          <w:tcPr>
            <w:tcW w:w="992" w:type="dxa"/>
            <w:noWrap w:val="0"/>
            <w:vAlign w:val="center"/>
          </w:tcPr>
          <w:p w14:paraId="25A56C88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noWrap w:val="0"/>
            <w:vAlign w:val="center"/>
          </w:tcPr>
          <w:p w14:paraId="0972A891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≥50%</w:t>
            </w:r>
          </w:p>
        </w:tc>
        <w:tc>
          <w:tcPr>
            <w:tcW w:w="1134" w:type="dxa"/>
            <w:noWrap w:val="0"/>
            <w:vAlign w:val="center"/>
          </w:tcPr>
          <w:p w14:paraId="1C9BAFCA">
            <w:pPr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≥90%</w:t>
            </w:r>
          </w:p>
        </w:tc>
      </w:tr>
      <w:tr w14:paraId="570D0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3241DAB0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01AF973D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78D1CEB2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园区内超低能耗、近零能耗建筑面积</w:t>
            </w:r>
          </w:p>
        </w:tc>
        <w:tc>
          <w:tcPr>
            <w:tcW w:w="992" w:type="dxa"/>
            <w:noWrap w:val="0"/>
            <w:vAlign w:val="center"/>
          </w:tcPr>
          <w:p w14:paraId="348C89C8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平方米</w:t>
            </w:r>
          </w:p>
        </w:tc>
        <w:tc>
          <w:tcPr>
            <w:tcW w:w="993" w:type="dxa"/>
            <w:noWrap w:val="0"/>
            <w:vAlign w:val="center"/>
          </w:tcPr>
          <w:p w14:paraId="25F1AC78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134" w:type="dxa"/>
            <w:noWrap w:val="0"/>
            <w:vAlign w:val="center"/>
          </w:tcPr>
          <w:p w14:paraId="48165647">
            <w:pPr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30000</w:t>
            </w:r>
          </w:p>
        </w:tc>
      </w:tr>
      <w:tr w14:paraId="2B29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3E73E0E2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3CC9198D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0EF93916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碳捕集利用和封存规模</w:t>
            </w:r>
          </w:p>
        </w:tc>
        <w:tc>
          <w:tcPr>
            <w:tcW w:w="992" w:type="dxa"/>
            <w:noWrap w:val="0"/>
            <w:vAlign w:val="center"/>
          </w:tcPr>
          <w:p w14:paraId="5C27105C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万吨/年</w:t>
            </w:r>
          </w:p>
        </w:tc>
        <w:tc>
          <w:tcPr>
            <w:tcW w:w="993" w:type="dxa"/>
            <w:noWrap w:val="0"/>
            <w:vAlign w:val="center"/>
          </w:tcPr>
          <w:p w14:paraId="3D5E55D5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 w14:paraId="7C0AA700">
            <w:pPr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5</w:t>
            </w:r>
          </w:p>
        </w:tc>
      </w:tr>
      <w:tr w14:paraId="445FB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8ED5012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7CF37B7D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2B7D94C8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园区企业产出产品单位能耗</w:t>
            </w:r>
          </w:p>
        </w:tc>
        <w:tc>
          <w:tcPr>
            <w:tcW w:w="992" w:type="dxa"/>
            <w:noWrap w:val="0"/>
            <w:vAlign w:val="center"/>
          </w:tcPr>
          <w:p w14:paraId="5C202F6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——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5057071F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达到或优于二级能耗限额标准</w:t>
            </w:r>
          </w:p>
        </w:tc>
      </w:tr>
      <w:tr w14:paraId="3AB2F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276EBD5B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741A93CC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783D70D3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新建项目通用型终端用能设备能耗</w:t>
            </w:r>
          </w:p>
        </w:tc>
        <w:tc>
          <w:tcPr>
            <w:tcW w:w="992" w:type="dxa"/>
            <w:noWrap w:val="0"/>
            <w:vAlign w:val="center"/>
          </w:tcPr>
          <w:p w14:paraId="2A2756B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——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276B1C62">
            <w:pPr>
              <w:spacing w:line="300" w:lineRule="exact"/>
              <w:jc w:val="center"/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达到或优于一级能效标准</w:t>
            </w:r>
          </w:p>
        </w:tc>
      </w:tr>
      <w:tr w14:paraId="3894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20" w:type="dxa"/>
            <w:noWrap w:val="0"/>
            <w:vAlign w:val="center"/>
          </w:tcPr>
          <w:p w14:paraId="67A88676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36" w:type="dxa"/>
            <w:vMerge w:val="continue"/>
            <w:noWrap w:val="0"/>
            <w:vAlign w:val="center"/>
          </w:tcPr>
          <w:p w14:paraId="77DA16EE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</w:p>
        </w:tc>
        <w:tc>
          <w:tcPr>
            <w:tcW w:w="4364" w:type="dxa"/>
            <w:noWrap w:val="0"/>
            <w:vAlign w:val="center"/>
          </w:tcPr>
          <w:p w14:paraId="1AFAA3D3">
            <w:pPr>
              <w:spacing w:line="300" w:lineRule="exact"/>
              <w:jc w:val="left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既有项目通用型终端用能设备能耗</w:t>
            </w:r>
          </w:p>
        </w:tc>
        <w:tc>
          <w:tcPr>
            <w:tcW w:w="992" w:type="dxa"/>
            <w:noWrap w:val="0"/>
            <w:vAlign w:val="center"/>
          </w:tcPr>
          <w:p w14:paraId="0417E46D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Arial"/>
                <w:color w:val="000000"/>
                <w:sz w:val="24"/>
                <w:szCs w:val="24"/>
              </w:rPr>
              <w:t>——</w:t>
            </w:r>
          </w:p>
        </w:tc>
        <w:tc>
          <w:tcPr>
            <w:tcW w:w="2127" w:type="dxa"/>
            <w:gridSpan w:val="2"/>
            <w:noWrap w:val="0"/>
            <w:vAlign w:val="center"/>
          </w:tcPr>
          <w:p w14:paraId="783EF2D2">
            <w:pPr>
              <w:spacing w:line="300" w:lineRule="exact"/>
              <w:jc w:val="center"/>
              <w:rPr>
                <w:rFonts w:ascii="Times New Roman" w:eastAsia="方正仿宋_GBK" w:cs="Arial"/>
                <w:color w:val="000000"/>
                <w:sz w:val="24"/>
                <w:szCs w:val="24"/>
              </w:rPr>
            </w:pPr>
            <w:r>
              <w:rPr>
                <w:rFonts w:hint="eastAsia" w:ascii="Times New Roman" w:eastAsia="方正仿宋_GBK" w:cs="Arial"/>
                <w:color w:val="000000"/>
                <w:sz w:val="24"/>
                <w:szCs w:val="24"/>
              </w:rPr>
              <w:t>达到或优于一级能效标准</w:t>
            </w:r>
          </w:p>
        </w:tc>
      </w:tr>
    </w:tbl>
    <w:p w14:paraId="42B73A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指标类型说明：</w:t>
      </w:r>
    </w:p>
    <w:p w14:paraId="3D278F4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约束性指标：零碳园区建设必须达到的目标，是遴选确定园区建设名单和后续开展验收评估的首要条件。达不到约束性指标要求的园区，原则上不得申请验收评估。</w:t>
      </w:r>
    </w:p>
    <w:p w14:paraId="20BA28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重要参考指标：零碳园区建设过程中发挥路径引导作用的参考目标，是遴选确定园区建设名单和后续开展验收的重要内容。由于客观条件不具备开展相关工作的园区，在说明相关情况并提供佐证材料后，可不在申报材料和建设方案中列出相关指标，遴选和验收也不对相关指标作硬性要求。</w:t>
      </w:r>
    </w:p>
    <w:p w14:paraId="312CB2E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激励性指标：零碳园区建设过程中鼓励园区积极对标开展工作的激励目标。提出并实现相关指标要求的园区，在零碳园区遴选和验收评估中给予相应加分。</w:t>
      </w:r>
    </w:p>
    <w:p w14:paraId="01F0AD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　　评价指标体系将根据国家、省关于零碳园区建设的最新要求动态调整。</w:t>
      </w:r>
    </w:p>
    <w:p w14:paraId="5A2EF4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raditional Arabic">
    <w:altName w:val="Times New Roman"/>
    <w:panose1 w:val="02020603050405020304"/>
    <w:charset w:val="00"/>
    <w:family w:val="roman"/>
    <w:pitch w:val="default"/>
    <w:sig w:usb0="00000000" w:usb1="00000000" w:usb2="00000008" w:usb3="00000000" w:csb0="00000041" w:csb1="200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9A6439"/>
    <w:multiLevelType w:val="singleLevel"/>
    <w:tmpl w:val="2A9A6439"/>
    <w:lvl w:ilvl="0" w:tentative="0">
      <w:start w:val="5"/>
      <w:numFmt w:val="chineseCounting"/>
      <w:suff w:val="nothing"/>
      <w:lvlText w:val="%1、"/>
      <w:lvlJc w:val="left"/>
      <w:pPr>
        <w:ind w:left="60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ZGU3NWQ5MzI1YWQ0M2EzMDA5YTVmZjIzOGZlNmQifQ=="/>
  </w:docVars>
  <w:rsids>
    <w:rsidRoot w:val="00000000"/>
    <w:rsid w:val="273B5722"/>
    <w:rsid w:val="49CE3FC8"/>
    <w:rsid w:val="52F659A0"/>
    <w:rsid w:val="538F2640"/>
    <w:rsid w:val="72EB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1948</Words>
  <Characters>1987</Characters>
  <Lines>0</Lines>
  <Paragraphs>0</Paragraphs>
  <TotalTime>1</TotalTime>
  <ScaleCrop>false</ScaleCrop>
  <LinksUpToDate>false</LinksUpToDate>
  <CharactersWithSpaces>2025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2025-03-24T06:01:00Z</dcterms:created>
  <dc:creator>JSTIDE</dc:creator>
  <cp:lastModifiedBy>陆雨婷</cp:lastModifiedBy>
  <dcterms:modified xsi:type="dcterms:W3CDTF">2025-04-01T05:54:36Z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7C3540CFD333439D9AD5D52B3FD50F35_12</vt:lpwstr>
  </property>
</Properties>
</file>