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99" w:rsidRDefault="00B82399" w:rsidP="00B82399">
      <w:pPr>
        <w:widowControl/>
        <w:spacing w:line="560" w:lineRule="exact"/>
        <w:ind w:firstLineChars="196" w:firstLine="619"/>
        <w:rPr>
          <w:rFonts w:ascii="Times New Roman" w:eastAsia="方正黑体_GBK" w:hAnsi="Times New Roman" w:hint="eastAsia"/>
          <w:snapToGrid w:val="0"/>
          <w:color w:val="000000"/>
          <w:kern w:val="0"/>
          <w:sz w:val="32"/>
          <w:szCs w:val="20"/>
        </w:rPr>
      </w:pPr>
      <w:r w:rsidRPr="00B82399">
        <w:rPr>
          <w:rFonts w:ascii="Times New Roman" w:eastAsia="方正黑体_GBK" w:hAnsi="Times New Roman" w:hint="eastAsia"/>
          <w:snapToGrid w:val="0"/>
          <w:color w:val="000000"/>
          <w:kern w:val="0"/>
          <w:sz w:val="32"/>
          <w:szCs w:val="20"/>
        </w:rPr>
        <w:t>《无锡市碳达峰实施方案》</w:t>
      </w:r>
      <w:r>
        <w:rPr>
          <w:rFonts w:ascii="Times New Roman" w:eastAsia="方正黑体_GBK" w:hAnsi="Times New Roman" w:hint="eastAsia"/>
          <w:snapToGrid w:val="0"/>
          <w:color w:val="000000"/>
          <w:kern w:val="0"/>
          <w:sz w:val="32"/>
          <w:szCs w:val="20"/>
        </w:rPr>
        <w:t>政策</w:t>
      </w:r>
      <w:r>
        <w:rPr>
          <w:rFonts w:ascii="Times New Roman" w:eastAsia="方正黑体_GBK" w:hAnsi="Times New Roman"/>
          <w:snapToGrid w:val="0"/>
          <w:color w:val="000000"/>
          <w:kern w:val="0"/>
          <w:sz w:val="32"/>
          <w:szCs w:val="20"/>
        </w:rPr>
        <w:t>解读</w:t>
      </w:r>
    </w:p>
    <w:p w:rsidR="00B82399" w:rsidRDefault="00B82399" w:rsidP="00B82399">
      <w:pPr>
        <w:widowControl/>
        <w:spacing w:line="560" w:lineRule="exact"/>
        <w:ind w:firstLineChars="196" w:firstLine="619"/>
        <w:rPr>
          <w:rFonts w:ascii="Times New Roman" w:eastAsia="方正黑体_GBK" w:hAnsi="Times New Roman"/>
          <w:snapToGrid w:val="0"/>
          <w:color w:val="000000"/>
          <w:kern w:val="0"/>
          <w:sz w:val="32"/>
          <w:szCs w:val="20"/>
        </w:rPr>
      </w:pPr>
      <w:r>
        <w:rPr>
          <w:rFonts w:ascii="Times New Roman" w:eastAsia="方正黑体_GBK" w:hAnsi="Times New Roman"/>
          <w:snapToGrid w:val="0"/>
          <w:color w:val="000000"/>
          <w:kern w:val="0"/>
          <w:sz w:val="32"/>
          <w:szCs w:val="20"/>
        </w:rPr>
        <w:t>一、起草背景</w:t>
      </w:r>
    </w:p>
    <w:p w:rsidR="00B82399" w:rsidRDefault="00B82399" w:rsidP="00B82399">
      <w:pPr>
        <w:widowControl/>
        <w:spacing w:line="560" w:lineRule="exact"/>
        <w:ind w:firstLineChars="196" w:firstLine="619"/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</w:pP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实现碳达峰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、碳中和，是以习近平同志为核心的党中央统筹国内国际两个大局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的重大战略决策，是着力解决资源环境约束突出问题、实现中华民族永续发展的必然选择，是构建人类命运共同体的庄严承诺。2021年10月，国务院印发《2030年前碳达峰行动方案》（以下简称国家《行动方案》），聚焦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2030年前碳达峰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目标，对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推进碳达峰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工作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总体部署。2022年10月，江苏省人民政府印发《江苏省碳达峰实施方案》（以下简称省《实施方案》），明确提出我省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2030年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20"/>
        </w:rPr>
        <w:t>前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碳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20"/>
        </w:rPr>
        <w:t>达峰</w:t>
      </w:r>
      <w:proofErr w:type="gramEnd"/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20"/>
        </w:rPr>
        <w:t>的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主要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20"/>
        </w:rPr>
        <w:t>目标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和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20"/>
        </w:rPr>
        <w:t>重点任务。</w:t>
      </w:r>
    </w:p>
    <w:p w:rsidR="00B82399" w:rsidRDefault="00B82399" w:rsidP="00B82399">
      <w:pPr>
        <w:widowControl/>
        <w:spacing w:line="560" w:lineRule="exact"/>
        <w:ind w:firstLineChars="196" w:firstLine="619"/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根据国家《行动方案》和省《实施方案》部署要求，为积极稳妥推进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我市碳达峰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工作，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制定实施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《无锡市碳达峰实施方案》。</w:t>
      </w:r>
    </w:p>
    <w:p w:rsidR="00B82399" w:rsidRDefault="00B82399" w:rsidP="00B82399">
      <w:pPr>
        <w:widowControl/>
        <w:spacing w:line="560" w:lineRule="exact"/>
        <w:ind w:firstLineChars="196" w:firstLine="619"/>
        <w:rPr>
          <w:rFonts w:ascii="Times New Roman" w:eastAsia="方正黑体_GBK" w:hAnsi="Times New Roman"/>
          <w:snapToGrid w:val="0"/>
          <w:color w:val="000000"/>
          <w:kern w:val="0"/>
          <w:sz w:val="32"/>
          <w:szCs w:val="20"/>
        </w:rPr>
      </w:pPr>
      <w:r>
        <w:rPr>
          <w:rFonts w:ascii="Times New Roman" w:eastAsia="方正黑体_GBK" w:hAnsi="Times New Roman" w:hint="eastAsia"/>
          <w:snapToGrid w:val="0"/>
          <w:color w:val="000000"/>
          <w:kern w:val="0"/>
          <w:sz w:val="32"/>
          <w:szCs w:val="20"/>
        </w:rPr>
        <w:t>二</w:t>
      </w:r>
      <w:r>
        <w:rPr>
          <w:rFonts w:ascii="Times New Roman" w:eastAsia="方正黑体_GBK" w:hAnsi="Times New Roman"/>
          <w:snapToGrid w:val="0"/>
          <w:color w:val="000000"/>
          <w:kern w:val="0"/>
          <w:sz w:val="32"/>
          <w:szCs w:val="20"/>
        </w:rPr>
        <w:t>、主要内容</w:t>
      </w:r>
    </w:p>
    <w:p w:rsidR="00B82399" w:rsidRDefault="00B82399" w:rsidP="00B82399">
      <w:pPr>
        <w:spacing w:line="560" w:lineRule="exact"/>
        <w:ind w:firstLineChars="196" w:firstLine="619"/>
        <w:rPr>
          <w:rFonts w:ascii="方正楷体_GBK" w:eastAsia="方正楷体_GBK" w:hAnsi="Times New Roman" w:hint="eastAsia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我市</w:t>
      </w:r>
      <w:r>
        <w:rPr>
          <w:rFonts w:ascii="Times New Roman" w:eastAsia="方正仿宋_GBK" w:hAnsi="Times New Roman"/>
          <w:snapToGrid w:val="0"/>
          <w:kern w:val="0"/>
          <w:sz w:val="32"/>
          <w:szCs w:val="20"/>
        </w:rPr>
        <w:t>《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实施</w:t>
      </w:r>
      <w:r>
        <w:rPr>
          <w:rFonts w:ascii="Times New Roman" w:eastAsia="方正仿宋_GBK" w:hAnsi="Times New Roman"/>
          <w:snapToGrid w:val="0"/>
          <w:kern w:val="0"/>
          <w:sz w:val="32"/>
          <w:szCs w:val="20"/>
        </w:rPr>
        <w:t>方案》</w:t>
      </w:r>
      <w:proofErr w:type="gramStart"/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对照省</w:t>
      </w:r>
      <w:proofErr w:type="gramEnd"/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《实施方案》总体框架，分为五个部分：</w:t>
      </w:r>
    </w:p>
    <w:p w:rsidR="00B82399" w:rsidRDefault="00B82399" w:rsidP="00B82399">
      <w:pPr>
        <w:spacing w:line="560" w:lineRule="exact"/>
        <w:ind w:firstLineChars="196" w:firstLine="619"/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</w:pPr>
      <w:r>
        <w:rPr>
          <w:rFonts w:ascii="方正楷体_GBK" w:eastAsia="方正楷体_GBK" w:hAnsi="Times New Roman" w:hint="eastAsia"/>
          <w:snapToGrid w:val="0"/>
          <w:kern w:val="0"/>
          <w:sz w:val="32"/>
          <w:szCs w:val="20"/>
        </w:rPr>
        <w:t>一是总体要求。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主要阐述总体遵循和指导思想。</w:t>
      </w:r>
    </w:p>
    <w:p w:rsidR="00B82399" w:rsidRDefault="00B82399" w:rsidP="00B82399">
      <w:pPr>
        <w:spacing w:line="560" w:lineRule="exact"/>
        <w:ind w:firstLineChars="196" w:firstLine="619"/>
        <w:rPr>
          <w:rFonts w:ascii="Times New Roman" w:eastAsia="方正仿宋_GBK" w:hAnsi="Times New Roman"/>
          <w:snapToGrid w:val="0"/>
          <w:color w:val="000000"/>
          <w:kern w:val="0"/>
          <w:sz w:val="32"/>
          <w:szCs w:val="20"/>
        </w:rPr>
      </w:pPr>
      <w:r>
        <w:rPr>
          <w:rFonts w:ascii="Times New Roman" w:eastAsia="方正楷体_GBK" w:hAnsi="Times New Roman" w:hint="eastAsia"/>
          <w:snapToGrid w:val="0"/>
          <w:color w:val="000000"/>
          <w:kern w:val="0"/>
          <w:sz w:val="32"/>
          <w:szCs w:val="20"/>
        </w:rPr>
        <w:t>二是主要</w:t>
      </w:r>
      <w:r>
        <w:rPr>
          <w:rFonts w:ascii="Times New Roman" w:eastAsia="方正楷体_GBK" w:hAnsi="Times New Roman"/>
          <w:snapToGrid w:val="0"/>
          <w:color w:val="000000"/>
          <w:kern w:val="0"/>
          <w:sz w:val="32"/>
          <w:szCs w:val="20"/>
        </w:rPr>
        <w:t>目标。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围绕2025、2030年这两个关键时间点，分别就单位地区生产总值能耗降幅、单位地区生产总值二氧化碳排放量、非化石能源消费占比、林木覆盖率等方面明确工作目标任务和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20"/>
        </w:rPr>
        <w:t>具体落实举措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。同时，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我市碳</w:t>
      </w:r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达峰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目标设置与省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《实施方案》一致，明确提出确保</w:t>
      </w:r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2030年前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实现碳达峰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。</w:t>
      </w:r>
    </w:p>
    <w:p w:rsidR="00B82399" w:rsidRDefault="00B82399" w:rsidP="00B82399">
      <w:pPr>
        <w:spacing w:line="560" w:lineRule="exact"/>
        <w:ind w:firstLineChars="196" w:firstLine="619"/>
        <w:rPr>
          <w:rFonts w:ascii="Times New Roman" w:eastAsia="方正仿宋_GBK" w:hAnsi="Times New Roman" w:hint="eastAsia"/>
          <w:snapToGrid w:val="0"/>
          <w:color w:val="000000"/>
          <w:kern w:val="0"/>
          <w:sz w:val="32"/>
          <w:szCs w:val="20"/>
        </w:rPr>
      </w:pPr>
      <w:r>
        <w:rPr>
          <w:rFonts w:ascii="Times New Roman" w:eastAsia="方正楷体_GBK" w:hAnsi="Times New Roman" w:hint="eastAsia"/>
          <w:snapToGrid w:val="0"/>
          <w:kern w:val="0"/>
          <w:sz w:val="32"/>
          <w:szCs w:val="20"/>
        </w:rPr>
        <w:lastRenderedPageBreak/>
        <w:t>三是</w:t>
      </w:r>
      <w:r>
        <w:rPr>
          <w:rFonts w:ascii="Times New Roman" w:eastAsia="方正楷体_GBK" w:hAnsi="Times New Roman"/>
          <w:snapToGrid w:val="0"/>
          <w:kern w:val="0"/>
          <w:sz w:val="32"/>
          <w:szCs w:val="20"/>
        </w:rPr>
        <w:t>重点任务。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综合考虑本市发展实际，我市《实施方案》提出工业领域达峰、能源低碳转型、城乡建设低碳、交通运输低碳、节能增效提升、低碳技术创新、绿色低碳社会创建、各市（县）区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有序达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峰等“碳达峰八大行动”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20"/>
        </w:rPr>
        <w:t>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20"/>
        </w:rPr>
        <w:t>我市的</w:t>
      </w:r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“碳达峰八大行动”，与省《实施方案》明确的八大专项行动相对应，将国家《行动</w:t>
      </w:r>
      <w:r>
        <w:rPr>
          <w:rFonts w:ascii="方正仿宋_GBK" w:eastAsia="方正仿宋_GBK" w:hAnsi="方正仿宋_GBK" w:cs="方正仿宋_GBK"/>
          <w:snapToGrid w:val="0"/>
          <w:color w:val="000000"/>
          <w:kern w:val="0"/>
          <w:sz w:val="32"/>
          <w:szCs w:val="20"/>
        </w:rPr>
        <w:t>方案</w:t>
      </w:r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》提出的“循环经济助力降碳行动”融入“节能增效提升”章节，“碳汇能力巩固提升行动”融入“绿色低碳社会创建”章节，全面落实了国家和省提出的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碳达峰各项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重点目标任务。</w:t>
      </w:r>
    </w:p>
    <w:p w:rsidR="00B82399" w:rsidRDefault="00B82399" w:rsidP="00B82399">
      <w:pPr>
        <w:spacing w:line="560" w:lineRule="exact"/>
        <w:ind w:firstLineChars="196" w:firstLine="619"/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</w:pPr>
      <w:r>
        <w:rPr>
          <w:rFonts w:ascii="Times New Roman" w:eastAsia="方正楷体_GBK" w:hAnsi="Times New Roman" w:hint="eastAsia"/>
          <w:snapToGrid w:val="0"/>
          <w:color w:val="000000"/>
          <w:kern w:val="0"/>
          <w:sz w:val="32"/>
          <w:szCs w:val="20"/>
        </w:rPr>
        <w:t>四是政策保障</w:t>
      </w:r>
      <w:r>
        <w:rPr>
          <w:rFonts w:ascii="Times New Roman" w:eastAsia="方正楷体_GBK" w:hAnsi="Times New Roman"/>
          <w:snapToGrid w:val="0"/>
          <w:color w:val="000000"/>
          <w:kern w:val="0"/>
          <w:sz w:val="32"/>
          <w:szCs w:val="20"/>
        </w:rPr>
        <w:t>。</w:t>
      </w:r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从建立健全碳排放统计核算体系、健全法规标准体系、构建政策支撑体系、推进市场化机制建设、强化低碳合作机制等5个方面提出了政策保障措施。</w:t>
      </w:r>
    </w:p>
    <w:p w:rsidR="00B82399" w:rsidRDefault="00B82399" w:rsidP="00B82399">
      <w:pPr>
        <w:spacing w:line="560" w:lineRule="exact"/>
        <w:ind w:firstLineChars="196" w:firstLine="619"/>
        <w:rPr>
          <w:rFonts w:ascii="方正仿宋_GBK" w:eastAsia="方正仿宋_GBK" w:hAnsi="方正仿宋_GBK" w:cs="方正仿宋_GBK"/>
          <w:snapToGrid w:val="0"/>
          <w:color w:val="000000"/>
          <w:kern w:val="0"/>
          <w:sz w:val="32"/>
          <w:szCs w:val="20"/>
        </w:rPr>
      </w:pPr>
      <w:r>
        <w:rPr>
          <w:rFonts w:ascii="Times New Roman" w:eastAsia="方正楷体_GBK" w:hAnsi="Times New Roman" w:hint="eastAsia"/>
          <w:snapToGrid w:val="0"/>
          <w:color w:val="000000"/>
          <w:kern w:val="0"/>
          <w:sz w:val="32"/>
          <w:szCs w:val="20"/>
        </w:rPr>
        <w:t>五是组织实施</w:t>
      </w:r>
      <w:r>
        <w:rPr>
          <w:rFonts w:ascii="Times New Roman" w:eastAsia="方正楷体_GBK" w:hAnsi="Times New Roman"/>
          <w:snapToGrid w:val="0"/>
          <w:color w:val="000000"/>
          <w:kern w:val="0"/>
          <w:sz w:val="32"/>
          <w:szCs w:val="20"/>
        </w:rPr>
        <w:t>。</w:t>
      </w:r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  <w:t>从加强统筹协调、强化责任落实、严格监督推进等3个方面提出了组织实施措施。</w:t>
      </w:r>
    </w:p>
    <w:p w:rsidR="00B82399" w:rsidRPr="00B82399" w:rsidRDefault="00B82399" w:rsidP="00B82399">
      <w:pPr>
        <w:spacing w:line="560" w:lineRule="exact"/>
        <w:ind w:firstLineChars="196" w:firstLine="619"/>
        <w:rPr>
          <w:rFonts w:ascii="方正黑体_GBK" w:eastAsia="方正黑体_GBK" w:hAnsi="方正仿宋_GBK" w:cs="方正仿宋_GBK" w:hint="eastAsia"/>
          <w:snapToGrid w:val="0"/>
          <w:color w:val="000000"/>
          <w:kern w:val="0"/>
          <w:sz w:val="32"/>
          <w:szCs w:val="20"/>
        </w:rPr>
      </w:pPr>
      <w:r w:rsidRPr="00B82399">
        <w:rPr>
          <w:rFonts w:ascii="方正黑体_GBK" w:eastAsia="方正黑体_GBK" w:hAnsi="方正仿宋_GBK" w:cs="方正仿宋_GBK" w:hint="eastAsia"/>
          <w:snapToGrid w:val="0"/>
          <w:color w:val="000000"/>
          <w:kern w:val="0"/>
          <w:sz w:val="32"/>
          <w:szCs w:val="20"/>
        </w:rPr>
        <w:t>三、下阶段重点工作</w:t>
      </w:r>
    </w:p>
    <w:p w:rsidR="002F5F75" w:rsidRPr="00B82399" w:rsidRDefault="00B82399" w:rsidP="00B82399">
      <w:pPr>
        <w:spacing w:line="560" w:lineRule="exact"/>
        <w:ind w:firstLineChars="196" w:firstLine="619"/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20"/>
        </w:rPr>
      </w:pPr>
      <w:r>
        <w:rPr>
          <w:rFonts w:ascii="方正仿宋_GBK" w:eastAsia="方正仿宋_GBK" w:hint="eastAsia"/>
          <w:sz w:val="32"/>
          <w:szCs w:val="32"/>
        </w:rPr>
        <w:t>《实施</w:t>
      </w:r>
      <w:r>
        <w:rPr>
          <w:rFonts w:ascii="方正仿宋_GBK" w:eastAsia="方正仿宋_GBK"/>
          <w:sz w:val="32"/>
          <w:szCs w:val="32"/>
        </w:rPr>
        <w:t>方案》印发后</w:t>
      </w:r>
      <w:r w:rsidRPr="00B82399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我市</w:t>
      </w:r>
      <w:r>
        <w:rPr>
          <w:rFonts w:ascii="方正仿宋_GBK" w:eastAsia="方正仿宋_GBK"/>
          <w:sz w:val="32"/>
          <w:szCs w:val="32"/>
        </w:rPr>
        <w:t>将</w:t>
      </w:r>
      <w:r w:rsidRPr="00B82399">
        <w:rPr>
          <w:rFonts w:ascii="方正仿宋_GBK" w:eastAsia="方正仿宋_GBK" w:hint="eastAsia"/>
          <w:sz w:val="32"/>
          <w:szCs w:val="32"/>
        </w:rPr>
        <w:t>扎实推动深化</w:t>
      </w:r>
      <w:proofErr w:type="gramStart"/>
      <w:r w:rsidRPr="00B82399">
        <w:rPr>
          <w:rFonts w:ascii="方正仿宋_GBK" w:eastAsia="方正仿宋_GBK" w:hint="eastAsia"/>
          <w:sz w:val="32"/>
          <w:szCs w:val="32"/>
        </w:rPr>
        <w:t>完善双碳政策</w:t>
      </w:r>
      <w:proofErr w:type="gramEnd"/>
      <w:r w:rsidRPr="00B82399">
        <w:rPr>
          <w:rFonts w:ascii="方正仿宋_GBK" w:eastAsia="方正仿宋_GBK" w:hint="eastAsia"/>
          <w:sz w:val="32"/>
          <w:szCs w:val="32"/>
        </w:rPr>
        <w:t>体系，重点领域、重点行业</w:t>
      </w:r>
      <w:proofErr w:type="gramStart"/>
      <w:r w:rsidRPr="00B82399">
        <w:rPr>
          <w:rFonts w:ascii="方正仿宋_GBK" w:eastAsia="方正仿宋_GBK" w:hint="eastAsia"/>
          <w:sz w:val="32"/>
          <w:szCs w:val="32"/>
        </w:rPr>
        <w:t>节能减碳等</w:t>
      </w:r>
      <w:proofErr w:type="gramEnd"/>
      <w:r w:rsidRPr="00B82399">
        <w:rPr>
          <w:rFonts w:ascii="方正仿宋_GBK" w:eastAsia="方正仿宋_GBK" w:hint="eastAsia"/>
          <w:sz w:val="32"/>
          <w:szCs w:val="32"/>
        </w:rPr>
        <w:t>工作，定期开展调度评估，落</w:t>
      </w:r>
      <w:r>
        <w:rPr>
          <w:rFonts w:ascii="方正仿宋_GBK" w:eastAsia="方正仿宋_GBK" w:hint="eastAsia"/>
          <w:sz w:val="32"/>
          <w:szCs w:val="32"/>
        </w:rPr>
        <w:t>实闭环工作机制，有力有序推进各项任务取得实效，</w:t>
      </w:r>
      <w:r w:rsidRPr="00B82399">
        <w:rPr>
          <w:rFonts w:ascii="方正仿宋_GBK" w:eastAsia="方正仿宋_GBK" w:hint="eastAsia"/>
          <w:sz w:val="32"/>
          <w:szCs w:val="32"/>
        </w:rPr>
        <w:t>确保2030年前</w:t>
      </w:r>
      <w:proofErr w:type="gramStart"/>
      <w:r w:rsidRPr="00B82399">
        <w:rPr>
          <w:rFonts w:ascii="方正仿宋_GBK" w:eastAsia="方正仿宋_GBK" w:hint="eastAsia"/>
          <w:sz w:val="32"/>
          <w:szCs w:val="32"/>
        </w:rPr>
        <w:t>实现碳达峰</w:t>
      </w:r>
      <w:proofErr w:type="gramEnd"/>
      <w:r>
        <w:rPr>
          <w:rFonts w:ascii="方正仿宋_GBK" w:eastAsia="方正仿宋_GBK" w:hint="eastAsia"/>
          <w:sz w:val="32"/>
          <w:szCs w:val="32"/>
        </w:rPr>
        <w:t>。</w:t>
      </w:r>
      <w:bookmarkStart w:id="0" w:name="_GoBack"/>
      <w:bookmarkEnd w:id="0"/>
    </w:p>
    <w:sectPr w:rsidR="002F5F75" w:rsidRPr="00B82399" w:rsidSect="002F5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131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71" w:rsidRDefault="00745571" w:rsidP="002F5F75">
      <w:pPr>
        <w:ind w:firstLine="640"/>
      </w:pPr>
      <w:r>
        <w:separator/>
      </w:r>
    </w:p>
  </w:endnote>
  <w:endnote w:type="continuationSeparator" w:id="0">
    <w:p w:rsidR="00745571" w:rsidRDefault="00745571" w:rsidP="002F5F7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45" w:rsidRDefault="00DA0845" w:rsidP="002F5F75">
    <w:pPr>
      <w:pStyle w:val="a5"/>
      <w:ind w:firstLine="360"/>
    </w:pPr>
    <w:r w:rsidRPr="00F77827">
      <w:rPr>
        <w:rFonts w:asciiTheme="minorEastAsia" w:eastAsiaTheme="minorEastAsia" w:hAnsiTheme="minorEastAsia"/>
      </w:rPr>
      <w:t>—</w:t>
    </w:r>
    <w:r>
      <w:rPr>
        <w:rFonts w:ascii="宋体" w:eastAsia="宋体" w:hAnsi="宋体" w:hint="eastAsia"/>
      </w:rPr>
      <w:t xml:space="preserve"> </w:t>
    </w:r>
    <w:r w:rsidRPr="00676E35">
      <w:fldChar w:fldCharType="begin"/>
    </w:r>
    <w:r w:rsidRPr="00676E35">
      <w:instrText>PAGE   \* MERGEFORMAT</w:instrText>
    </w:r>
    <w:r w:rsidRPr="00676E35">
      <w:fldChar w:fldCharType="separate"/>
    </w:r>
    <w:r w:rsidR="002F5F75" w:rsidRPr="002F5F75">
      <w:rPr>
        <w:noProof/>
        <w:lang w:val="zh-CN"/>
      </w:rPr>
      <w:t>2</w:t>
    </w:r>
    <w:r w:rsidRPr="00676E35">
      <w:fldChar w:fldCharType="end"/>
    </w:r>
    <w:r>
      <w:rPr>
        <w:rFonts w:ascii="宋体" w:eastAsia="宋体" w:hAnsi="宋体"/>
      </w:rPr>
      <w:t xml:space="preserve"> </w:t>
    </w:r>
    <w:r w:rsidRPr="00F77827">
      <w:rPr>
        <w:rFonts w:asciiTheme="minorEastAsia" w:eastAsiaTheme="minorEastAsia" w:hAnsiTheme="minor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45" w:rsidRPr="002F5F75" w:rsidRDefault="00DA0845" w:rsidP="002F5F75">
    <w:pPr>
      <w:pStyle w:val="a5"/>
      <w:ind w:rightChars="100" w:right="210" w:firstLineChars="0" w:firstLine="0"/>
      <w:jc w:val="center"/>
      <w:rPr>
        <w:rFonts w:asciiTheme="minorEastAsia" w:eastAsiaTheme="minorEastAsia" w:hAnsiTheme="minorEastAsia" w:cs="Times New Roman"/>
        <w:sz w:val="28"/>
        <w:szCs w:val="28"/>
      </w:rPr>
    </w:pPr>
    <w:r w:rsidRPr="002F5F75">
      <w:rPr>
        <w:rFonts w:asciiTheme="minorEastAsia" w:eastAsiaTheme="minorEastAsia" w:hAnsiTheme="minorEastAsia" w:cs="Times New Roman"/>
        <w:sz w:val="28"/>
        <w:szCs w:val="28"/>
      </w:rPr>
      <w:t xml:space="preserve">— </w:t>
    </w:r>
    <w:r w:rsidRPr="002F5F75">
      <w:rPr>
        <w:rFonts w:ascii="Times New Roman" w:eastAsiaTheme="minorEastAsia" w:hAnsi="Times New Roman" w:cs="Times New Roman"/>
        <w:sz w:val="28"/>
        <w:szCs w:val="28"/>
      </w:rPr>
      <w:fldChar w:fldCharType="begin"/>
    </w:r>
    <w:r w:rsidRPr="002F5F75">
      <w:rPr>
        <w:rFonts w:ascii="Times New Roman" w:eastAsiaTheme="minorEastAsia" w:hAnsi="Times New Roman" w:cs="Times New Roman"/>
        <w:sz w:val="28"/>
        <w:szCs w:val="28"/>
      </w:rPr>
      <w:instrText>PAGE   \* MERGEFORMAT</w:instrText>
    </w:r>
    <w:r w:rsidRPr="002F5F75">
      <w:rPr>
        <w:rFonts w:ascii="Times New Roman" w:eastAsiaTheme="minorEastAsia" w:hAnsi="Times New Roman" w:cs="Times New Roman"/>
        <w:sz w:val="28"/>
        <w:szCs w:val="28"/>
      </w:rPr>
      <w:fldChar w:fldCharType="separate"/>
    </w:r>
    <w:r w:rsidR="00B82399">
      <w:rPr>
        <w:rFonts w:ascii="Times New Roman" w:eastAsiaTheme="minorEastAsia" w:hAnsi="Times New Roman" w:cs="Times New Roman"/>
        <w:noProof/>
        <w:sz w:val="28"/>
        <w:szCs w:val="28"/>
      </w:rPr>
      <w:t>1</w:t>
    </w:r>
    <w:r w:rsidRPr="002F5F75">
      <w:rPr>
        <w:rFonts w:ascii="Times New Roman" w:eastAsiaTheme="minorEastAsia" w:hAnsi="Times New Roman" w:cs="Times New Roman"/>
        <w:sz w:val="28"/>
        <w:szCs w:val="28"/>
      </w:rPr>
      <w:fldChar w:fldCharType="end"/>
    </w:r>
    <w:r w:rsidRPr="002F5F75">
      <w:rPr>
        <w:rFonts w:asciiTheme="minorEastAsia" w:eastAsiaTheme="minorEastAsia" w:hAnsiTheme="minorEastAsia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45" w:rsidRDefault="00DA0845" w:rsidP="002F5F7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71" w:rsidRDefault="00745571" w:rsidP="002F5F75">
      <w:pPr>
        <w:ind w:firstLine="640"/>
      </w:pPr>
      <w:r>
        <w:separator/>
      </w:r>
    </w:p>
  </w:footnote>
  <w:footnote w:type="continuationSeparator" w:id="0">
    <w:p w:rsidR="00745571" w:rsidRDefault="00745571" w:rsidP="002F5F7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45" w:rsidRDefault="00DA0845" w:rsidP="002F5F7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45" w:rsidRPr="00A11CD4" w:rsidRDefault="00DA0845" w:rsidP="00A11CD4">
    <w:pPr>
      <w:pStyle w:val="a3"/>
      <w:pBdr>
        <w:bottom w:val="none" w:sz="0" w:space="0" w:color="auto"/>
      </w:pBd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45" w:rsidRDefault="00DA0845" w:rsidP="002F5F7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99"/>
    <w:rsid w:val="002F5F75"/>
    <w:rsid w:val="00333DDC"/>
    <w:rsid w:val="00392A62"/>
    <w:rsid w:val="00511E72"/>
    <w:rsid w:val="00571328"/>
    <w:rsid w:val="005B6A16"/>
    <w:rsid w:val="00676E35"/>
    <w:rsid w:val="006A168D"/>
    <w:rsid w:val="007143C4"/>
    <w:rsid w:val="00745571"/>
    <w:rsid w:val="008F0D02"/>
    <w:rsid w:val="00942F30"/>
    <w:rsid w:val="00954C3D"/>
    <w:rsid w:val="009C26FD"/>
    <w:rsid w:val="00A11CD4"/>
    <w:rsid w:val="00B82399"/>
    <w:rsid w:val="00CB5E05"/>
    <w:rsid w:val="00D612B2"/>
    <w:rsid w:val="00D6213D"/>
    <w:rsid w:val="00D7441D"/>
    <w:rsid w:val="00DA0845"/>
    <w:rsid w:val="00EF3F75"/>
    <w:rsid w:val="00F7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6AA3C"/>
  <w15:chartTrackingRefBased/>
  <w15:docId w15:val="{D4B41D7B-6D23-4D2C-BE58-52F7EE1A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9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2F30"/>
    <w:pPr>
      <w:keepNext/>
      <w:keepLines/>
      <w:spacing w:line="620" w:lineRule="exact"/>
      <w:ind w:firstLineChars="200" w:firstLine="632"/>
      <w:jc w:val="center"/>
      <w:outlineLvl w:val="0"/>
    </w:pPr>
    <w:rPr>
      <w:rFonts w:ascii="方正小标宋_GBK" w:eastAsia="方正小标宋简体" w:hAnsi="方正小标宋_GBK" w:cs="方正仿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42F30"/>
    <w:pPr>
      <w:ind w:firstLineChars="200" w:firstLine="632"/>
      <w:outlineLvl w:val="1"/>
    </w:pPr>
    <w:rPr>
      <w:rFonts w:ascii="方正黑体_GBK" w:eastAsia="方正黑体_GBK" w:hAnsi="方正黑体_GBK" w:cs="方正仿宋_GBK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942F30"/>
    <w:pPr>
      <w:ind w:firstLineChars="200" w:firstLine="632"/>
      <w:outlineLvl w:val="2"/>
    </w:pPr>
    <w:rPr>
      <w:rFonts w:ascii="方正楷体_GBK" w:eastAsia="方正楷体_GBK" w:hAnsi="方正楷体_GBK" w:cs="方正仿宋_GBK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942F30"/>
    <w:rPr>
      <w:rFonts w:ascii="方正小标宋_GBK" w:eastAsia="方正小标宋简体" w:hAnsi="方正小标宋_GBK"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sid w:val="00942F30"/>
    <w:rPr>
      <w:rFonts w:ascii="方正黑体_GBK" w:eastAsia="方正黑体_GBK" w:hAnsi="方正黑体_GBK"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942F30"/>
    <w:rPr>
      <w:rFonts w:ascii="方正楷体_GBK" w:eastAsia="方正楷体_GBK" w:hAnsi="方正楷体_GBK"/>
      <w:bCs/>
      <w:kern w:val="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A0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632"/>
      <w:jc w:val="center"/>
    </w:pPr>
    <w:rPr>
      <w:rFonts w:ascii="方正仿宋_GBK" w:eastAsia="方正仿宋_GBK" w:hAnsi="黑体" w:cs="方正仿宋_GBK"/>
      <w:sz w:val="18"/>
      <w:szCs w:val="18"/>
    </w:rPr>
  </w:style>
  <w:style w:type="character" w:customStyle="1" w:styleId="a4">
    <w:name w:val="页眉 字符"/>
    <w:link w:val="a3"/>
    <w:uiPriority w:val="99"/>
    <w:rsid w:val="00DA0845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845"/>
    <w:pPr>
      <w:tabs>
        <w:tab w:val="center" w:pos="4153"/>
        <w:tab w:val="right" w:pos="8306"/>
      </w:tabs>
      <w:snapToGrid w:val="0"/>
      <w:ind w:firstLineChars="200" w:firstLine="632"/>
      <w:jc w:val="left"/>
    </w:pPr>
    <w:rPr>
      <w:rFonts w:ascii="方正仿宋_GBK" w:eastAsia="方正仿宋_GBK" w:hAnsi="黑体" w:cs="方正仿宋_GBK"/>
      <w:sz w:val="18"/>
      <w:szCs w:val="18"/>
    </w:rPr>
  </w:style>
  <w:style w:type="character" w:customStyle="1" w:styleId="a6">
    <w:name w:val="页脚 字符"/>
    <w:link w:val="a5"/>
    <w:uiPriority w:val="99"/>
    <w:rsid w:val="00DA0845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23450;&#20041;%20Office%20&#27169;&#26495;\&#20010;&#20154;&#27169;&#26495;\&#20844;&#25991;&#27169;&#26495;%20&#26032;&#26041;&#274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4E82CE-F5D3-4888-AE73-5D19C369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 新方正.dotx</Template>
  <TotalTime>3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凌捷</dc:creator>
  <cp:keywords/>
  <dc:description/>
  <cp:lastModifiedBy>凌捷</cp:lastModifiedBy>
  <cp:revision>1</cp:revision>
  <dcterms:created xsi:type="dcterms:W3CDTF">2024-12-16T09:22:00Z</dcterms:created>
  <dcterms:modified xsi:type="dcterms:W3CDTF">2024-12-16T09:25:00Z</dcterms:modified>
</cp:coreProperties>
</file>