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2023年无锡市国民经济和社会发展统计公报</w:t>
      </w:r>
    </w:p>
    <w:p>
      <w:pPr>
        <w:jc w:val="center"/>
        <w:rPr>
          <w:szCs w:val="32"/>
        </w:rPr>
      </w:pPr>
    </w:p>
    <w:p>
      <w:pPr>
        <w:spacing w:line="320" w:lineRule="exact"/>
        <w:jc w:val="center"/>
        <w:rPr>
          <w:rFonts w:eastAsia="方正楷体_GBK"/>
          <w:sz w:val="30"/>
          <w:szCs w:val="30"/>
        </w:rPr>
      </w:pPr>
      <w:r>
        <w:rPr>
          <w:rFonts w:hint="eastAsia" w:eastAsia="方正楷体_GBK"/>
          <w:sz w:val="30"/>
          <w:szCs w:val="30"/>
          <w:lang w:eastAsia="zh-CN"/>
        </w:rPr>
        <w:t>无锡市统计局</w:t>
      </w:r>
      <w:r>
        <w:rPr>
          <w:rFonts w:hint="eastAsia" w:eastAsia="方正楷体_GBK"/>
          <w:sz w:val="30"/>
          <w:szCs w:val="30"/>
          <w:lang w:val="en-US" w:eastAsia="zh-CN"/>
        </w:rPr>
        <w:t xml:space="preserve">  国家统计局无锡调查队</w:t>
      </w:r>
    </w:p>
    <w:p>
      <w:pPr>
        <w:spacing w:line="320" w:lineRule="exact"/>
        <w:jc w:val="center"/>
        <w:rPr>
          <w:rFonts w:eastAsia="方正楷体_GBK"/>
          <w:sz w:val="30"/>
          <w:szCs w:val="30"/>
        </w:rPr>
      </w:pPr>
    </w:p>
    <w:p>
      <w:pPr>
        <w:spacing w:line="320" w:lineRule="exact"/>
        <w:jc w:val="center"/>
        <w:rPr>
          <w:rFonts w:eastAsia="方正楷体_GBK"/>
          <w:sz w:val="30"/>
          <w:szCs w:val="30"/>
        </w:rPr>
      </w:pPr>
      <w:r>
        <w:rPr>
          <w:rFonts w:eastAsia="方正楷体_GBK"/>
          <w:sz w:val="30"/>
          <w:szCs w:val="30"/>
        </w:rPr>
        <w:t>2024年3月</w:t>
      </w:r>
      <w:r>
        <w:rPr>
          <w:rFonts w:hint="eastAsia" w:eastAsia="方正楷体_GBK"/>
          <w:sz w:val="30"/>
          <w:szCs w:val="30"/>
          <w:lang w:val="en-US" w:eastAsia="zh-CN"/>
        </w:rPr>
        <w:t>5</w:t>
      </w:r>
      <w:r>
        <w:rPr>
          <w:rFonts w:hint="eastAsia" w:eastAsia="方正楷体_GBK"/>
          <w:sz w:val="30"/>
          <w:szCs w:val="30"/>
        </w:rPr>
        <w:t>日</w:t>
      </w:r>
    </w:p>
    <w:p>
      <w:pPr>
        <w:rPr>
          <w:rFonts w:eastAsia="仿宋_GB2312"/>
          <w:szCs w:val="32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2023年，全市上下坚持以习近平新时代中国特色社会主义思想为指导，深入学习贯彻习近平总书记对江苏工作重要讲话重要指示精神，全面落实党中央、国务院和省委、省政府部署要求，坚持稳中求进工作总基调，完整准确全面贯彻新发展理念，全力以赴稳经济、促发展、惠民生，经济运行稳定向好，高质量发展扎实推进，推动中国式现代化无锡新实践实现良好开局。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一、综合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shd w:val="clear" w:color="auto" w:fill="FFFFFF"/>
        </w:rPr>
        <w:t>经济总量再创新高，综合实力持续增强，初步核算，全年</w:t>
      </w:r>
      <w:r>
        <w:rPr>
          <w:rFonts w:eastAsia="方正仿宋_GBK"/>
          <w:sz w:val="32"/>
          <w:szCs w:val="32"/>
        </w:rPr>
        <w:t>实现地区生产总值15456.19亿元，按可比价格计算，比上年增长6.0%。按常住人口计算人均地区生产总值达到20.63万元。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分产业看，全市第一产业实现增加值136.50亿元，比上年增长2.4%；第二产业实现增加值7376.85亿元，比上年增长6.9%；第三产业实现增加值</w:t>
      </w:r>
      <w:r>
        <w:rPr>
          <w:rFonts w:eastAsia="方正仿宋_GBK"/>
          <w:kern w:val="0"/>
          <w:sz w:val="32"/>
          <w:szCs w:val="32"/>
        </w:rPr>
        <w:t>7942.84</w:t>
      </w:r>
      <w:r>
        <w:rPr>
          <w:rFonts w:eastAsia="方正仿宋_GBK"/>
          <w:sz w:val="32"/>
          <w:szCs w:val="32"/>
        </w:rPr>
        <w:t>亿元，比上年增长5.3%；三次产业比例调整为0.9 : 47.7 : 51.4。</w:t>
      </w:r>
    </w:p>
    <w:p>
      <w:pPr>
        <w:pStyle w:val="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全年城镇新增就业16.37万人，其中：各类城镇下岗失业人员实现就业再就业6.54万人，援助就业困难人员再就业2.4万人。</w:t>
      </w:r>
    </w:p>
    <w:p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全年民营经济实现增加值10255.08亿元，比上年增长6.2%，占经济总量的比重为66.3%，比上年提高 0.1个百分点。民营规上工业实现产值15667.86亿元，比上年增长6.7%。</w:t>
      </w:r>
    </w:p>
    <w:p>
      <w:pPr>
        <w:snapToGrid w:val="0"/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年末全市各级登记机关登记的各类企业45.17万户，其中国有及集体控股公司4.11万户，外商投资企业0.71万户，私营企业40.35万户，当年新登记各类企业5.46万户。年末个体工商户68.55万户，当年新登记9.37万户。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全年市区居民消费价格比上年上涨0.6%，涨幅比上年降低1.5个百分点。其中，服务项目价格上涨1.8%，消费品价格下降0.4%。全年工业生产者出厂价格、工业生产者购进价格均下降2.8%。</w:t>
      </w:r>
    </w:p>
    <w:p>
      <w:pPr>
        <w:spacing w:line="600" w:lineRule="exact"/>
        <w:ind w:firstLine="560" w:firstLineChars="2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表1                2023年居民消费价格指数情况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4"/>
        <w:gridCol w:w="20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68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指标</w:t>
            </w:r>
          </w:p>
        </w:tc>
        <w:tc>
          <w:tcPr>
            <w:tcW w:w="20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8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居民消费价格指数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100.6</w:t>
            </w:r>
          </w:p>
          <w:p>
            <w:pPr>
              <w:spacing w:line="5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vertAlign w:val="superscript"/>
              </w:rPr>
              <w:t>#</w:t>
            </w:r>
            <w:r>
              <w:rPr>
                <w:rFonts w:eastAsia="方正仿宋_GBK"/>
                <w:sz w:val="28"/>
                <w:szCs w:val="28"/>
              </w:rPr>
              <w:t>食品烟酒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638" w:firstLineChars="228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衣着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638" w:firstLineChars="228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居住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638" w:firstLineChars="228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生活用品及服务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101.5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638" w:firstLineChars="228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交通通信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97.0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638" w:firstLineChars="228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教育文化娱乐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638" w:firstLineChars="228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医疗保健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103.6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2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spacing w:line="500" w:lineRule="exact"/>
              <w:ind w:firstLine="638" w:firstLineChars="228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其他用品及服务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</w:tcPr>
          <w:p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103.9</w:t>
            </w:r>
          </w:p>
        </w:tc>
      </w:tr>
    </w:tbl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二、农业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全年粮食总产量56.41万吨，比上年增长1.4%。油料总产量9432吨，比上年增长23.4%，其中油菜籽8544吨，比上年增长24.1%。茶叶总产量4192吨，比上年增长1.8%；园林水果总产量18.54万吨，比上年增长1.9%。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全年粮食种植面积为81.87千公顷，比上年增加0.74千公顷；油料种植面积为3.88千公顷，比上年增加0.80 千公顷；蔬菜种植面积38.68千公顷，比上年增加0.34千公顷；果园面积10.19 千公顷，比上年减少0.23千公顷。</w:t>
      </w:r>
    </w:p>
    <w:p>
      <w:pPr>
        <w:spacing w:line="560" w:lineRule="exact"/>
        <w:ind w:firstLine="627" w:firstLineChars="196"/>
        <w:rPr>
          <w:rFonts w:eastAsia="方正仿宋_GBK"/>
          <w:b/>
          <w:sz w:val="28"/>
          <w:szCs w:val="28"/>
        </w:rPr>
      </w:pPr>
      <w:r>
        <w:rPr>
          <w:rFonts w:eastAsia="方正仿宋_GBK"/>
          <w:sz w:val="32"/>
          <w:szCs w:val="32"/>
        </w:rPr>
        <w:t>主要畜产品中，肉类总产量1.05 万吨，比上年增长30.8%，其中猪牛羊肉0.81万吨，比上年增长53.9%。禽蛋总产量1.02万吨，比上年下降2.9%。生牛奶产量4812吨，比上年增长29.7%。全年水产品产量10.33万吨，比上年增长0.9%。</w:t>
      </w:r>
    </w:p>
    <w:p>
      <w:pPr>
        <w:spacing w:line="600" w:lineRule="exact"/>
        <w:ind w:firstLine="560" w:firstLineChars="200"/>
        <w:rPr>
          <w:rFonts w:eastAsia="方正仿宋_GBK"/>
          <w:bCs/>
        </w:rPr>
      </w:pPr>
      <w:r>
        <w:rPr>
          <w:rFonts w:eastAsia="方正仿宋_GBK"/>
          <w:bCs/>
          <w:sz w:val="28"/>
          <w:szCs w:val="28"/>
        </w:rPr>
        <w:t>表2       2023年主要农产品产量及其增长速度</w:t>
      </w:r>
    </w:p>
    <w:p>
      <w:pPr>
        <w:spacing w:line="560" w:lineRule="exact"/>
        <w:ind w:right="140" w:firstLine="7420" w:firstLineChars="2650"/>
        <w:rPr>
          <w:rFonts w:eastAsia="方正仿宋_GBK"/>
          <w:bCs/>
        </w:rPr>
      </w:pPr>
      <w:r>
        <w:rPr>
          <w:rFonts w:eastAsia="方正仿宋_GBK"/>
          <w:bCs/>
          <w:sz w:val="28"/>
          <w:szCs w:val="28"/>
        </w:rPr>
        <w:t>单位：吨</w:t>
      </w:r>
    </w:p>
    <w:tbl>
      <w:tblPr>
        <w:tblStyle w:val="12"/>
        <w:tblW w:w="871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145"/>
        <w:gridCol w:w="696"/>
        <w:gridCol w:w="2220"/>
        <w:gridCol w:w="80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产品名称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120" w:firstLineChars="4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产量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53" w:leftChars="187" w:hanging="560" w:hangingChars="200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粮食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564113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1.4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油料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9432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23.4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840" w:firstLineChars="3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  <w:vertAlign w:val="superscript"/>
              </w:rPr>
              <w:t>#</w:t>
            </w:r>
            <w:r>
              <w:rPr>
                <w:rFonts w:eastAsia="方正仿宋_GBK"/>
                <w:bCs/>
                <w:sz w:val="28"/>
                <w:szCs w:val="28"/>
              </w:rPr>
              <w:t>油菜籽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8544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24.1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茶叶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4192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1.8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园林水果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185437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1.9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 w:firstLineChars="200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水产品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80" w:lineRule="exact"/>
              <w:ind w:firstLine="560" w:firstLineChars="200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103333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480" w:lineRule="exact"/>
              <w:jc w:val="righ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0.9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80" w:lineRule="exact"/>
              <w:rPr>
                <w:rFonts w:eastAsia="方正仿宋_GBK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三、工业和建筑业</w:t>
      </w:r>
    </w:p>
    <w:p>
      <w:pPr>
        <w:tabs>
          <w:tab w:val="left" w:pos="567"/>
        </w:tabs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规模以上工业企业实现增加值6005.31亿元，比上年增长7.8%。从经济类型看，内资企业增加值增长9.9%，外商及港澳台商投资企业增加值增长4.1%。全市规模以上工业企业实现营业收入23717.04亿元，比上年增长1.7%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建筑业实现增加值760.87亿元，比上年增长11.3%；完成建筑业总产值1421.74亿元，比上年增长8.5%。房屋建筑施工面积4694.65万平方米，比上年增长1.7%。2023年度，预计30个建设工程项目获得江苏省优质工程奖“扬子杯”（房屋建筑工程），2022—2023年度1个建设工程项目获得鲁班奖。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四、固定资产投资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固定资产投资4412.10亿元，比上年增长8.3%。其中：第一产业投资4.09亿元，比上年增长76.4%；第二产业投资1714.43亿元，比上年增长9.5%；第三产业投资2693.58亿元，比上年增长7.5%。分重点行业看，高新技术产业投资1138.25亿元，比上年增长18.6%；先进制造业投资1510.93亿元，比上年增长15.5%；战略性新兴产业投资2072.88亿元，比上年增长11.8%。</w:t>
      </w:r>
    </w:p>
    <w:p>
      <w:pPr>
        <w:spacing w:line="560" w:lineRule="exact"/>
        <w:ind w:firstLine="640" w:firstLineChars="200"/>
        <w:rPr>
          <w:rFonts w:eastAsia="方正仿宋_GBK"/>
          <w:strike/>
          <w:sz w:val="32"/>
          <w:szCs w:val="32"/>
        </w:rPr>
      </w:pPr>
      <w:r>
        <w:rPr>
          <w:rFonts w:eastAsia="方正仿宋_GBK"/>
          <w:sz w:val="32"/>
          <w:szCs w:val="32"/>
        </w:rPr>
        <w:t>全年房地产开发投资1263.91亿元，比上年下降8.9%。商品房施工面积为5003.31万平方米，比上年下降11.4%；竣工面积838.08万平方米，比上年下降13.2%。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五、国内贸易</w:t>
      </w:r>
    </w:p>
    <w:p>
      <w:pPr>
        <w:spacing w:line="560" w:lineRule="exact"/>
        <w:ind w:firstLine="64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全年实现社会消费品零售总额3567.55亿元，比上年增长6.9%。</w:t>
      </w:r>
      <w:r>
        <w:rPr>
          <w:rFonts w:hint="eastAsia" w:eastAsia="方正仿宋_GBK"/>
          <w:sz w:val="32"/>
          <w:szCs w:val="32"/>
        </w:rPr>
        <w:t>限额以上社会消费品零售额中通过公共网络实现的商品零售额</w:t>
      </w:r>
      <w:r>
        <w:rPr>
          <w:rFonts w:eastAsia="方正仿宋_GBK"/>
          <w:sz w:val="32"/>
          <w:szCs w:val="32"/>
        </w:rPr>
        <w:t>247.93亿元，比上年增长2.2%。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在限额以上批发和零售业零售额中，汽车类比上年增长6.8%，石油及制品类比上年增长0.6%，粮油、食品类比上年增长12.2%，通讯器材类比上年增长20.8%，服装、鞋帽、针纺织品类比上年增长12.5%，家具类比上年下降0.3%，中西药品类比上年增长11.0%，化妆品类比上年增长6.6%，金银珠宝类比上年增长11.7%。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六、开放型经济</w:t>
      </w:r>
    </w:p>
    <w:p>
      <w:pPr>
        <w:spacing w:line="560" w:lineRule="exact"/>
        <w:ind w:firstLine="640" w:firstLineChars="200"/>
        <w:rPr>
          <w:rFonts w:eastAsia="方正仿宋_GBK"/>
          <w:b/>
          <w:sz w:val="28"/>
          <w:szCs w:val="28"/>
        </w:rPr>
      </w:pPr>
      <w:r>
        <w:rPr>
          <w:rFonts w:eastAsia="方正仿宋_GBK"/>
          <w:sz w:val="32"/>
          <w:szCs w:val="32"/>
        </w:rPr>
        <w:t>全年实现进出口总值7065.32亿元，比上年下降4.1%。其中，出口总值4658.10亿元，比上年下降3.9%；进口总值2407.22亿元，比上年下降4.5%。一般贸易实现出口总值2894.14亿元，占全市出口总值的62.1%。按美元计，全年实现进出口总值1004.17亿美元，比上年下降9.2%。其中，出口总值662.19亿美元，比上年下降8.9%；进口总值341.98亿美元，比上年下降9.7%。</w:t>
      </w:r>
    </w:p>
    <w:p>
      <w:pPr>
        <w:spacing w:line="600" w:lineRule="exact"/>
        <w:ind w:firstLine="560" w:firstLineChars="2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表3    2023年对主要国家和地区出口、进口总值及其增长速度</w:t>
      </w:r>
    </w:p>
    <w:p>
      <w:pPr>
        <w:spacing w:line="560" w:lineRule="exact"/>
        <w:ind w:firstLine="7280" w:firstLineChars="2600"/>
        <w:rPr>
          <w:rFonts w:eastAsia="方正仿宋_GBK"/>
          <w:bCs/>
          <w:sz w:val="28"/>
          <w:szCs w:val="28"/>
        </w:rPr>
      </w:pPr>
      <w:r>
        <w:rPr>
          <w:rFonts w:eastAsia="方正仿宋_GBK"/>
          <w:bCs/>
          <w:sz w:val="28"/>
          <w:szCs w:val="28"/>
        </w:rPr>
        <w:t>单位：万元</w:t>
      </w:r>
    </w:p>
    <w:tbl>
      <w:tblPr>
        <w:tblStyle w:val="12"/>
        <w:tblW w:w="917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727"/>
        <w:gridCol w:w="1556"/>
        <w:gridCol w:w="1420"/>
        <w:gridCol w:w="1701"/>
        <w:gridCol w:w="1418"/>
        <w:gridCol w:w="135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出口国家</w:t>
            </w:r>
          </w:p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和地区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2023年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增长（%）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进口国家</w:t>
            </w:r>
          </w:p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和地区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2023年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韩国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6073753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-15.3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韩国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4829517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美国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4569676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-4.8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日本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3574832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-17.8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中国香港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3620173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-2.3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中国台湾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1834242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-26.9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日本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2582498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-6.7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美国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1785050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-1.2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印度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1817377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8.1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澳大利亚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629841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25.2</w:t>
            </w:r>
          </w:p>
        </w:tc>
      </w:tr>
    </w:tbl>
    <w:p>
      <w:pPr>
        <w:spacing w:line="360" w:lineRule="exact"/>
        <w:ind w:firstLine="480" w:firstLineChars="200"/>
        <w:rPr>
          <w:rFonts w:eastAsia="仿宋_GB2312"/>
          <w:color w:val="auto"/>
          <w:sz w:val="24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全年批准外资项目498个，新增协议注册外资64亿美元，比上年下降27.1%。实际使用外资41.2亿美元，比上年增长7.7 %。高技术产业实际使用外资占比46.9%，全年完成协议注册外资超 3000 万美元的重大外资项目60个。至2023 年底全球财富500 强企业中有117 家在无锡投资兴办了247家外资企业。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全市服务外包产业接包合同总额284.8亿美元，比上年增长53.7%，执行金额139.4亿美元，比上年增长9.1 %；离岸合同总额212.7亿美元，比上年增长68.1%，离岸执行金额87.55亿美元，比上年增长6.1 %。</w:t>
      </w:r>
    </w:p>
    <w:p>
      <w:pPr>
        <w:spacing w:line="560" w:lineRule="exact"/>
        <w:ind w:firstLine="627" w:firstLineChars="196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七、交通运输、邮政电信和旅游业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年末公路总里程 7652.77公里，其中高速公路 325.70公里。年末全社会拥有机动车辆271.81万辆，比上年增长5.0%。其中汽车255.41万辆，比上年增长4.5%。私人汽车拥有量年末达到209.16万辆，比上年增长4.6%。城市轨道交通运营线路总长110.77公里，全年运营总里程1082.23万列公里，线网客流总量18456.04万人次。年末营运公交线路339条，线路总长5984.3公里，全年公交运客总量1.76亿人次。年末市区营运巡游出租汽车4040辆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完成客运量9575.07万人次，比上年增长47.0%；完成货物运输量25219.86万吨，比上年增长18.8%。完成港口货物吞吐量45979.60万吨，比上年增长8.2%；集装箱货物吞吐量66.50万标箱，比上年增长12.0%。完成航空旅客吞吐量879.87万人</w:t>
      </w:r>
      <w:r>
        <w:rPr>
          <w:rFonts w:hint="eastAsia" w:eastAsia="方正仿宋_GBK"/>
          <w:sz w:val="32"/>
          <w:szCs w:val="32"/>
        </w:rPr>
        <w:t>次</w:t>
      </w:r>
      <w:r>
        <w:rPr>
          <w:rFonts w:eastAsia="方正仿宋_GBK"/>
          <w:sz w:val="32"/>
          <w:szCs w:val="32"/>
        </w:rPr>
        <w:t>，比上年增长133.4%；航空货邮吞吐量12.56万吨，比上年增长28.1%。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全年邮电业务总量257.83亿元，比上年增长1.7%。发送函件750.37万件，比上年增长7.3%。全年快递服务企业业务量累计完成8.18亿件，比上年下降14.9%，实现快递业务收入103.67亿元，比上年下降4.1%。年末，光纤宽带覆盖用户超436万户，城域网出口带宽近16T。累计建成5G基站25216个。年末移动电话用户1038.67万户，其中4G手机用户达到444.07万户，5G移动电话在网用户达到495.30万户。固定互联网宽带接入用户450.02万户，移动互联网宽带接入用户910.21万户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全年共接待国内游客12711.97万人次，比上年增长64.7%；接待旅游、参观、访问及从事各项活动的入境过夜旅游者19.01万人次，比上年增长284%。全市拥有等级旅游景区46个，其中国家5A级景区4家，国家4A级景区26家，3A级景区11家，2A级景区5家。省级及以上乡村旅游重点村19个。年末全市星级宾馆22家，其中五星级宾馆10家，四星级宾馆7家。全市拥有旅行社312家，其中出境游组团社35家。</w:t>
      </w:r>
    </w:p>
    <w:p>
      <w:pPr>
        <w:spacing w:line="560" w:lineRule="exact"/>
        <w:ind w:firstLine="640" w:firstLineChars="200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八、财政和金融业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</w:rPr>
        <w:t>全市一般公共预算收入1195.42亿元，比上年增长5.5%，其中，税收收入982.80亿元，比上年增长15.3%。全年一般公共预算支出1390.45亿元，比上年增长1.8%，其中，教育支出219.83亿元，社会保障和就业支出161.89亿元，卫生健康支出121.39亿元，分别占一般公共预算支出的15.8%、11.6%、8.7%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金融机构各项本外币存款余额达27237.18亿元，比上年增长11.5%；各项本外币贷款余额22581.68亿元，比上年增长13.6%。存款中，非金融企业存款余额11132.38亿元，比上年增长7.6%；住户存款余额11845.00亿元，比上年增长18.2%。贷款中，非金融企业及机关团体贷款16722.92亿元，比上年增长17.5%；住户贷款5820.32亿元，比上年增长3.6%。全年现金净投放201.07亿元，比上年下降11.3%。</w:t>
      </w:r>
    </w:p>
    <w:p>
      <w:pPr>
        <w:spacing w:line="560" w:lineRule="exact"/>
        <w:ind w:left="105" w:leftChars="50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全年实现保费收入542.43亿元，比上年增长10.1%。其中财产险收入133.96亿元，比上年增长6.1%；人寿险收入408.47亿元，比上年增长11.5%。保险赔款支出93.22亿元，比上年增长15.9%。保险给付支出55.05亿元，比上年增</w:t>
      </w:r>
      <w:r>
        <w:rPr>
          <w:rFonts w:hint="eastAsia" w:eastAsia="方正仿宋_GBK"/>
          <w:sz w:val="32"/>
          <w:szCs w:val="32"/>
        </w:rPr>
        <w:t>长</w:t>
      </w:r>
      <w:r>
        <w:rPr>
          <w:rFonts w:eastAsia="方正仿宋_GBK"/>
          <w:sz w:val="32"/>
          <w:szCs w:val="32"/>
        </w:rPr>
        <w:t>14.4%。</w:t>
      </w:r>
    </w:p>
    <w:p>
      <w:pPr>
        <w:spacing w:line="560" w:lineRule="exact"/>
        <w:ind w:firstLine="630" w:firstLineChars="19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全年证券市场完成交易额93295.39亿元，比上年增长2.8%。本年新增上市公司14家，累计202家。全市共有证券公司2家，证券分支机构163家。</w:t>
      </w:r>
    </w:p>
    <w:p>
      <w:pPr>
        <w:spacing w:line="560" w:lineRule="exact"/>
        <w:ind w:firstLine="630" w:firstLineChars="197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sz w:val="32"/>
          <w:szCs w:val="32"/>
        </w:rPr>
        <w:t>九、科学技术和教育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highlight w:val="yellow"/>
        </w:rPr>
      </w:pPr>
      <w:r>
        <w:rPr>
          <w:rFonts w:eastAsia="方正仿宋_GBK"/>
          <w:sz w:val="32"/>
          <w:szCs w:val="32"/>
        </w:rPr>
        <w:t>全市共有国家级工程技术研究中心6家，省级以上重点实验室5家，省级以上企业重点实验室7家，省级国际技术转移中心3家，国家级国际合作基地8家。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实现高新技术产业产值13318.31亿元，同比增长8.5%，占规模以上工业总产值比重达52.3%。发明专利授权量11750件，比上年增长39.2%。万人有效发明专利拥有量达74.72件。全市获国家、省科技计划到位经费5.50亿元，其中获国家科技经费1.62亿元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共有国家级产品质量检验检测中心15个，国家级检测重点实验室6个，国家级型式评价实验室1个，国家级产业计量测试中心1个。全年省级监督抽查无锡产品1511批次，强制性产品认证获证企业859家，法定计量技术机构3家，强制检定计量器具111.77万台（件）。全年新增主导和参与制修订国际、国家、行业和省级地方标准175项。</w:t>
      </w:r>
    </w:p>
    <w:p>
      <w:pPr>
        <w:spacing w:line="560" w:lineRule="exact"/>
        <w:ind w:firstLine="640" w:firstLineChars="200"/>
        <w:rPr>
          <w:rFonts w:eastAsia="方正仿宋_GBK"/>
          <w:b/>
          <w:sz w:val="28"/>
          <w:szCs w:val="28"/>
        </w:rPr>
      </w:pPr>
      <w:r>
        <w:rPr>
          <w:rFonts w:eastAsia="方正仿宋_GBK"/>
          <w:sz w:val="32"/>
          <w:szCs w:val="32"/>
        </w:rPr>
        <w:t>全市共有普通高校13所。普通高等教育本专科招生5.21万人，在校生16.02万人，毕业生4.38万人；研究生教育招生 0.45万人，在校生1.33 万人，毕业生 0.33 万人。全市中等职业教育在校生 5.14万人。九年义务教育巩固率100%，高中阶段教育毛入学率 100.8%，普及高中阶段教育。特殊教育招生380人，在校生1670人。全市共有幼儿园603 所，比上年增加7 所，在园幼儿18.66万人。</w:t>
      </w:r>
    </w:p>
    <w:p>
      <w:pPr>
        <w:spacing w:line="600" w:lineRule="exact"/>
        <w:ind w:firstLine="700" w:firstLineChars="250"/>
        <w:rPr>
          <w:rFonts w:eastAsia="方正仿宋_GBK"/>
          <w:bCs/>
          <w:szCs w:val="32"/>
        </w:rPr>
      </w:pPr>
      <w:r>
        <w:rPr>
          <w:rFonts w:eastAsia="方正仿宋_GBK"/>
          <w:bCs/>
          <w:sz w:val="28"/>
          <w:szCs w:val="28"/>
        </w:rPr>
        <w:t>表4        2023年各类教育招生和在校生情况</w:t>
      </w:r>
    </w:p>
    <w:p>
      <w:pPr>
        <w:widowControl/>
        <w:spacing w:line="560" w:lineRule="exact"/>
        <w:ind w:firstLine="6720" w:firstLineChars="2400"/>
        <w:rPr>
          <w:rFonts w:eastAsia="方正仿宋_GBK"/>
          <w:bCs/>
          <w:kern w:val="0"/>
          <w:sz w:val="28"/>
        </w:rPr>
      </w:pPr>
      <w:r>
        <w:rPr>
          <w:rFonts w:eastAsia="方正仿宋_GBK"/>
          <w:bCs/>
          <w:kern w:val="0"/>
          <w:sz w:val="28"/>
        </w:rPr>
        <w:t>单位：个、人</w:t>
      </w:r>
    </w:p>
    <w:tbl>
      <w:tblPr>
        <w:tblStyle w:val="12"/>
        <w:tblW w:w="87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2520"/>
        <w:gridCol w:w="1417"/>
        <w:gridCol w:w="1687"/>
        <w:gridCol w:w="1559"/>
        <w:gridCol w:w="159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学校个数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招生数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在校生数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毕业生数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普通高等学校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56641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173438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47046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普通中等专业学校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16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16555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51386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16583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普通中学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213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103391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291800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87776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小学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235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85581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488059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46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69464</w:t>
            </w:r>
          </w:p>
        </w:tc>
      </w:tr>
    </w:tbl>
    <w:p>
      <w:pPr>
        <w:spacing w:line="360" w:lineRule="exact"/>
        <w:ind w:firstLine="480" w:firstLineChars="200"/>
        <w:rPr>
          <w:rFonts w:eastAsia="黑体"/>
          <w:color w:val="auto"/>
          <w:sz w:val="24"/>
        </w:rPr>
      </w:pPr>
    </w:p>
    <w:p>
      <w:pPr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sz w:val="32"/>
          <w:szCs w:val="32"/>
        </w:rPr>
        <w:t>十、文化、卫生、体育和民族宗教</w:t>
      </w:r>
    </w:p>
    <w:p>
      <w:pPr>
        <w:spacing w:after="120" w:afterLines="50"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年末共有艺术表演团体77个，文化馆8个，公共图书馆8个，文化站75个，博物（纪念）馆64个。全市人民广播电台节目13套，电视台节目25套，无锡有线电视总用户165万户。电视人口总覆盖率和广播人口覆盖率均达100%。全市共有档案馆8个，已向社会开放档案450万件。</w:t>
      </w:r>
    </w:p>
    <w:p>
      <w:pPr>
        <w:spacing w:after="120" w:afterLines="50"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预计年末全市拥有卫生医疗机构3437个，其中综合医院62家，社区卫生服务中心（卫生院）106家，社区卫生服务站（村卫生室）710家，护理院78家，疗养院6家。全市共有卫生技术人员6.99万人，其中执业（助理）医师 2.70万人；拥有医疗卫生机构床位 5.51万张，其中医院、社区卫生服务中心（卫生院）5.31万张。全市各级医疗机构全年完成诊疗6096.99万人次，比上年增长16.1%。</w:t>
      </w:r>
    </w:p>
    <w:p>
      <w:pPr>
        <w:spacing w:after="120" w:afterLines="50"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预计年末全市人均体育场地面积为4.49平方米，每万人拥有社会体育指导员49人，全市国民体质合格率达93.5%。各类体育运动场所新增设置直饮水点11个，更新公共室外健身器材2000余件，新建社区百姓健身房7个。新创省体旅融合发展示范基地1家，中国体育旅游十佳项目1个、精品项目2个，省级体育服务综合体1家。全年无锡籍运动员在全国以上各级各类比赛中共取得43个冠军。杭州亚运会无锡健儿斩获6金2银1铜,帮助中国队实现马术、围棋项目亚运会金牌零的突破。全市体育彩票销售达到42.53亿元，增长35.9%。成功举办无锡马拉松、世界跆拳道大满贯冠军系列赛、环太湖国际公路自行车赛、亚洲击剑锦标赛、亚洲体育舞蹈节、中国三人篮球联赛、中国铁人三项联赛等一系列国际国内大赛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年末有宗教活动场所280处，教职人员605名（不含散居道士)。</w:t>
      </w:r>
    </w:p>
    <w:p>
      <w:pPr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sz w:val="32"/>
          <w:szCs w:val="32"/>
        </w:rPr>
        <w:t>十一、人口、人民生活和社会保障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年末全市户籍人口520.95万人，年人口增长率3.73‰。户籍人口城镇化率87.56%。年末全市常住人口749.50万人，比上年增长0.06%，其中城镇常住人口624.39万人，比上年增长0.32%。常住人口城镇化率83.31%，比上年末提高0.22个百分点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体居民人均可支配收入69016元，比上年增长4.9%；城镇常住居民人均可支配收入76644元，比上年增长4.5%；农村常住居民人均可支配收入44617元，比上年增长6.4%。城乡居民收入差距进一步缩小，城乡居民收入比由上年的1.75:1缩小为1.72:1。全体居民人均生活消费支出44450元，比上年增长7.4%；城镇常住居民人均生活消费支出48409元，比上年增长6.9%；农村常住居民人均生活消费支出31785元，比上年增长9.9%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全市企业职工基本养老保险人数（含退休人员）410.19万人，全市参加城镇职工基本医疗保险人数437.46万人，扩面9.71万人。参加生育保险人数269.78万人，扩面1.6万人。参加失业保险职工人数263万人，扩面0.33万人。参加工伤保险人数280.87万人，扩面4.57万人。市区月人均低保标准提高至1095元。年末在领失业保险金人数为3.69万人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城乡居民最低生活保障对象11026人，全年共发放低保金1.15亿元。实施城乡医疗救助47.9万人次，支付救助金10485万元；实施临时救助1613人次，发放救助金323.52万元。年末全市享受国家抚恤补助的重点优抚对象15415人。全市新开工保障性住房33437套（间），基本建成20190套（间）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</w:t>
      </w:r>
      <w:bookmarkStart w:id="0" w:name="_GoBack"/>
      <w:bookmarkEnd w:id="0"/>
      <w:r>
        <w:rPr>
          <w:rFonts w:eastAsia="方正仿宋_GBK"/>
          <w:sz w:val="32"/>
          <w:szCs w:val="32"/>
        </w:rPr>
        <w:t>年累计抽检各类食品7.18万批次，每千人抽检率达9.58批次，食品评价性抽检合格率为99.76%。</w:t>
      </w:r>
    </w:p>
    <w:p>
      <w:pPr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</w:rPr>
      </w:pPr>
      <w:r>
        <w:rPr>
          <w:rFonts w:eastAsia="方正黑体_GBK"/>
          <w:sz w:val="32"/>
          <w:szCs w:val="32"/>
        </w:rPr>
        <w:t>十二、资源、环境和安全生产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全年全市建设用地供应总量2566.75公顷，比上年下降24.7%，其中，工矿仓储用地712.47公顷，经营性用地574.57公顷，基础设施等其他用地1279.71公顷。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全年全社会用电量864.07亿千瓦时，比上年增长3.7%。其中工业用电量615.03亿千瓦时，比上年增长3.9%；城乡居民生活用电97.09亿千瓦时，比上年下降5.5%。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预计年末全市水资源总量26.99亿立方米。初步统计，全年总用水量26.51亿立方米，比上年下降0.3%。其中生活用水下降0.6%，工业用水（开式火电用水以耗水计）下降0.3%，农业用水与上年基本持平，生态补水增长1.3%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全市PM</w:t>
      </w:r>
      <w:r>
        <w:rPr>
          <w:rFonts w:eastAsia="方正仿宋_GBK"/>
          <w:sz w:val="32"/>
          <w:szCs w:val="32"/>
          <w:vertAlign w:val="subscript"/>
        </w:rPr>
        <w:t>2.5</w:t>
      </w:r>
      <w:r>
        <w:rPr>
          <w:rFonts w:eastAsia="方正仿宋_GBK"/>
          <w:sz w:val="32"/>
          <w:szCs w:val="32"/>
        </w:rPr>
        <w:t>年均浓度28微克/立方米，与上年持平；环境空气质量优良天数比率为82.5%，为全省PM</w:t>
      </w:r>
      <w:r>
        <w:rPr>
          <w:rFonts w:eastAsia="方正仿宋_GBK"/>
          <w:sz w:val="32"/>
          <w:szCs w:val="32"/>
          <w:vertAlign w:val="subscript"/>
        </w:rPr>
        <w:t>2.5</w:t>
      </w:r>
      <w:r>
        <w:rPr>
          <w:rFonts w:eastAsia="方正仿宋_GBK"/>
          <w:sz w:val="32"/>
          <w:szCs w:val="32"/>
        </w:rPr>
        <w:t>年均浓度和空气质量优良天数唯一“双达标”城市。集中式饮用水源地水质达标率100%，全市功能区昼间和夜间噪声达标率分别为96.9%和90.6%。</w:t>
      </w:r>
    </w:p>
    <w:p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sz w:val="32"/>
          <w:szCs w:val="32"/>
        </w:rPr>
        <w:t>年内市区新增绿地面积306公顷，人均公园绿地面积15.28平方米，建成区绿化覆盖率达到44.52%。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全年发生各类安全生产事故76起，死亡51人，同比分别下降5.0%、5.6%。亿元GDP生产安全事故死亡率0.0033人/亿元。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黑体_GBK"/>
          <w:sz w:val="28"/>
          <w:szCs w:val="28"/>
        </w:rPr>
        <w:t>注：</w:t>
      </w:r>
      <w:r>
        <w:rPr>
          <w:rFonts w:eastAsia="方正仿宋_GBK"/>
          <w:sz w:val="28"/>
          <w:szCs w:val="28"/>
        </w:rPr>
        <w:t>1．公报中地区生产总值和各产业增加值绝对值按现行价格计算，增长速度按可比价格计算。</w:t>
      </w:r>
    </w:p>
    <w:p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2．本文为初步统计数。部分数据因四舍五入的原因，存在着与分项合计不等的情况。</w:t>
      </w:r>
    </w:p>
    <w:p>
      <w:pPr>
        <w:spacing w:line="560" w:lineRule="exact"/>
        <w:ind w:firstLine="652"/>
        <w:rPr>
          <w:rFonts w:eastAsia="仿宋_GB2312"/>
          <w:sz w:val="32"/>
          <w:szCs w:val="32"/>
        </w:rPr>
      </w:pPr>
      <w:r>
        <w:rPr>
          <w:rFonts w:eastAsia="方正仿宋_GBK"/>
          <w:sz w:val="28"/>
          <w:szCs w:val="28"/>
        </w:rPr>
        <w:t>3．资料来源：本公报中就业、社会保障数据来自人力资源和社会保障局；企业登记、质检、食品安全、专利数据来自市场监督管理局；茶叶、水果、水产品数据来自农业农村局；对外贸易数据来自海关；利用外资、外包、外经数据来自商务局；车辆、户籍人口数据来自公安局；公路、水路交通运输数据来自交通运输局；铁路运输数据来自火车站；民航运输数据来自苏南机场集团；轨道交通数据来自地铁集团；邮政、电信业务数据来自邮政管理局、通信管理办公室；城市信息化数据来自工业和信息化局；文化、旅游数据来自文化广电和旅游局；财政数据来自财政局；金融数据来自人民银行；保险数据来自保险协会；证券数据来自地方金融监督管理局；科技数据来自科技局；教育数据来自教育局；档案数据来自档案史志馆；卫生数据来自卫生健康委员会；体育数据来自体育局；宗教数据来自民宗局；社会福利数据来自民政局；医疗救助、医疗保险、生育保险数据来自医疗保障局；国家优抚补助数据来自退役军人事务局；保障性住房数据来自住建局；用地数据来自自然资源和规划局；水资源数据来自水利局；电力消耗数据来自供电公司；环保数据来自生态环境局；绿化数据来自市政和园林局；安全生产数据来自应急管理局。</w:t>
      </w:r>
    </w:p>
    <w:p>
      <w:pPr>
        <w:spacing w:line="240" w:lineRule="exact"/>
        <w:rPr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78" w:right="1474" w:bottom="1780" w:left="1588" w:header="851" w:footer="992" w:gutter="0"/>
      <w:pgNumType w:fmt="numberInDash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3745060"/>
    </w:sdtPr>
    <w:sdtEndPr>
      <w:rPr>
        <w:rFonts w:ascii="宋体" w:hAnsi="宋体"/>
      </w:rPr>
    </w:sdtEndPr>
    <w:sdtContent>
      <w:p>
        <w:pPr>
          <w:pStyle w:val="6"/>
          <w:ind w:right="360"/>
          <w:jc w:val="right"/>
          <w:rPr>
            <w:rFonts w:ascii="宋体" w:hAnsi="宋体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32767426"/>
    </w:sdtPr>
    <w:sdtEndPr>
      <w:rPr>
        <w:rFonts w:ascii="宋体" w:hAnsi="宋体"/>
        <w:sz w:val="28"/>
        <w:szCs w:val="28"/>
      </w:rPr>
    </w:sdtEndPr>
    <w:sdtContent>
      <w:p>
        <w:pPr>
          <w:pStyle w:val="6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revisionView w:markup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zBmMGQ3YWRkYzdhM2IwMThhOWE5ZjBhM2Y2ZjYifQ=="/>
  </w:docVars>
  <w:rsids>
    <w:rsidRoot w:val="0033429D"/>
    <w:rsid w:val="0000223E"/>
    <w:rsid w:val="00002E68"/>
    <w:rsid w:val="000046CA"/>
    <w:rsid w:val="000048D7"/>
    <w:rsid w:val="00006542"/>
    <w:rsid w:val="00007B15"/>
    <w:rsid w:val="0001367D"/>
    <w:rsid w:val="0001501E"/>
    <w:rsid w:val="00022ED4"/>
    <w:rsid w:val="00025A98"/>
    <w:rsid w:val="000303ED"/>
    <w:rsid w:val="00030B5D"/>
    <w:rsid w:val="000311BF"/>
    <w:rsid w:val="0003140D"/>
    <w:rsid w:val="00031538"/>
    <w:rsid w:val="0003476A"/>
    <w:rsid w:val="00035987"/>
    <w:rsid w:val="00036250"/>
    <w:rsid w:val="000374EB"/>
    <w:rsid w:val="00041701"/>
    <w:rsid w:val="000421EA"/>
    <w:rsid w:val="000516C1"/>
    <w:rsid w:val="00051A8E"/>
    <w:rsid w:val="000526B7"/>
    <w:rsid w:val="00053615"/>
    <w:rsid w:val="00055259"/>
    <w:rsid w:val="00056C46"/>
    <w:rsid w:val="00056E60"/>
    <w:rsid w:val="00060462"/>
    <w:rsid w:val="000703CD"/>
    <w:rsid w:val="00071E74"/>
    <w:rsid w:val="00072BCE"/>
    <w:rsid w:val="0007314A"/>
    <w:rsid w:val="0007479D"/>
    <w:rsid w:val="00081C0A"/>
    <w:rsid w:val="00082775"/>
    <w:rsid w:val="00086333"/>
    <w:rsid w:val="00086AD5"/>
    <w:rsid w:val="00091C42"/>
    <w:rsid w:val="000925BB"/>
    <w:rsid w:val="000929EE"/>
    <w:rsid w:val="000955E5"/>
    <w:rsid w:val="00096151"/>
    <w:rsid w:val="00097631"/>
    <w:rsid w:val="00097989"/>
    <w:rsid w:val="000A5521"/>
    <w:rsid w:val="000A7243"/>
    <w:rsid w:val="000B05E6"/>
    <w:rsid w:val="000B067B"/>
    <w:rsid w:val="000B1168"/>
    <w:rsid w:val="000C1210"/>
    <w:rsid w:val="000C2653"/>
    <w:rsid w:val="000C4D13"/>
    <w:rsid w:val="000C761F"/>
    <w:rsid w:val="000D13EE"/>
    <w:rsid w:val="000D13F2"/>
    <w:rsid w:val="000D2078"/>
    <w:rsid w:val="000D292E"/>
    <w:rsid w:val="000D644C"/>
    <w:rsid w:val="000D6797"/>
    <w:rsid w:val="000E60AA"/>
    <w:rsid w:val="000E7587"/>
    <w:rsid w:val="000E779A"/>
    <w:rsid w:val="000F0D7E"/>
    <w:rsid w:val="000F31A5"/>
    <w:rsid w:val="000F4D0F"/>
    <w:rsid w:val="000F4E4C"/>
    <w:rsid w:val="000F6C7E"/>
    <w:rsid w:val="00103461"/>
    <w:rsid w:val="0010585C"/>
    <w:rsid w:val="00110704"/>
    <w:rsid w:val="00113EF6"/>
    <w:rsid w:val="00117007"/>
    <w:rsid w:val="001234EB"/>
    <w:rsid w:val="00123A7A"/>
    <w:rsid w:val="00137820"/>
    <w:rsid w:val="0014039D"/>
    <w:rsid w:val="001434AD"/>
    <w:rsid w:val="00143A93"/>
    <w:rsid w:val="00145AB8"/>
    <w:rsid w:val="001476D8"/>
    <w:rsid w:val="0014798D"/>
    <w:rsid w:val="0015002F"/>
    <w:rsid w:val="00151AA4"/>
    <w:rsid w:val="00155DA7"/>
    <w:rsid w:val="0016298E"/>
    <w:rsid w:val="00165C5F"/>
    <w:rsid w:val="001729B7"/>
    <w:rsid w:val="00174D46"/>
    <w:rsid w:val="00175A77"/>
    <w:rsid w:val="00177854"/>
    <w:rsid w:val="00181500"/>
    <w:rsid w:val="00181715"/>
    <w:rsid w:val="001832E7"/>
    <w:rsid w:val="00191684"/>
    <w:rsid w:val="001A1A93"/>
    <w:rsid w:val="001B0F36"/>
    <w:rsid w:val="001B63AA"/>
    <w:rsid w:val="001C5AB2"/>
    <w:rsid w:val="001C685B"/>
    <w:rsid w:val="001D0309"/>
    <w:rsid w:val="001D0B09"/>
    <w:rsid w:val="001D734D"/>
    <w:rsid w:val="001E53DD"/>
    <w:rsid w:val="001F1D8A"/>
    <w:rsid w:val="001F1FBC"/>
    <w:rsid w:val="001F250E"/>
    <w:rsid w:val="001F3973"/>
    <w:rsid w:val="0020067A"/>
    <w:rsid w:val="002010D4"/>
    <w:rsid w:val="00203439"/>
    <w:rsid w:val="0021065B"/>
    <w:rsid w:val="00214A6A"/>
    <w:rsid w:val="0021631F"/>
    <w:rsid w:val="00217385"/>
    <w:rsid w:val="00224B7E"/>
    <w:rsid w:val="00226BB7"/>
    <w:rsid w:val="002409FD"/>
    <w:rsid w:val="00246054"/>
    <w:rsid w:val="00247128"/>
    <w:rsid w:val="002553B1"/>
    <w:rsid w:val="00256832"/>
    <w:rsid w:val="00261174"/>
    <w:rsid w:val="00272348"/>
    <w:rsid w:val="00276279"/>
    <w:rsid w:val="002766A2"/>
    <w:rsid w:val="00290F23"/>
    <w:rsid w:val="002924AA"/>
    <w:rsid w:val="002938D5"/>
    <w:rsid w:val="00294A78"/>
    <w:rsid w:val="002A3C60"/>
    <w:rsid w:val="002A5CFA"/>
    <w:rsid w:val="002A5E1D"/>
    <w:rsid w:val="002A6793"/>
    <w:rsid w:val="002B19E1"/>
    <w:rsid w:val="002B5292"/>
    <w:rsid w:val="002C20CE"/>
    <w:rsid w:val="002C2EE0"/>
    <w:rsid w:val="002D505D"/>
    <w:rsid w:val="002D6749"/>
    <w:rsid w:val="002E3F71"/>
    <w:rsid w:val="002E5FD3"/>
    <w:rsid w:val="002E6B89"/>
    <w:rsid w:val="002F44BF"/>
    <w:rsid w:val="002F6853"/>
    <w:rsid w:val="002F7F6A"/>
    <w:rsid w:val="003104D6"/>
    <w:rsid w:val="00312B23"/>
    <w:rsid w:val="00314936"/>
    <w:rsid w:val="0032173E"/>
    <w:rsid w:val="003242C2"/>
    <w:rsid w:val="003273BD"/>
    <w:rsid w:val="00327FB6"/>
    <w:rsid w:val="00331C7F"/>
    <w:rsid w:val="0033429D"/>
    <w:rsid w:val="00341679"/>
    <w:rsid w:val="00341BF2"/>
    <w:rsid w:val="003467AD"/>
    <w:rsid w:val="00346835"/>
    <w:rsid w:val="003506BD"/>
    <w:rsid w:val="0035163A"/>
    <w:rsid w:val="003517F2"/>
    <w:rsid w:val="00353CDA"/>
    <w:rsid w:val="00362DF7"/>
    <w:rsid w:val="003634FC"/>
    <w:rsid w:val="00367D2B"/>
    <w:rsid w:val="003760B1"/>
    <w:rsid w:val="00382896"/>
    <w:rsid w:val="00382D46"/>
    <w:rsid w:val="003857EC"/>
    <w:rsid w:val="00386D6C"/>
    <w:rsid w:val="00387841"/>
    <w:rsid w:val="00387A29"/>
    <w:rsid w:val="00387DED"/>
    <w:rsid w:val="00390532"/>
    <w:rsid w:val="00394798"/>
    <w:rsid w:val="00395AF8"/>
    <w:rsid w:val="003A5E3C"/>
    <w:rsid w:val="003C108A"/>
    <w:rsid w:val="003C6A6F"/>
    <w:rsid w:val="003C7482"/>
    <w:rsid w:val="003E144F"/>
    <w:rsid w:val="003E1AEC"/>
    <w:rsid w:val="003E3F14"/>
    <w:rsid w:val="003F0A15"/>
    <w:rsid w:val="003F34DC"/>
    <w:rsid w:val="003F35DD"/>
    <w:rsid w:val="003F569F"/>
    <w:rsid w:val="003F6086"/>
    <w:rsid w:val="003F7219"/>
    <w:rsid w:val="00400895"/>
    <w:rsid w:val="00403432"/>
    <w:rsid w:val="00403AA1"/>
    <w:rsid w:val="00407150"/>
    <w:rsid w:val="004075E0"/>
    <w:rsid w:val="0041051B"/>
    <w:rsid w:val="00413836"/>
    <w:rsid w:val="00417869"/>
    <w:rsid w:val="00421170"/>
    <w:rsid w:val="00421B2D"/>
    <w:rsid w:val="00423C7A"/>
    <w:rsid w:val="004257B5"/>
    <w:rsid w:val="0043064D"/>
    <w:rsid w:val="00433407"/>
    <w:rsid w:val="00436CC3"/>
    <w:rsid w:val="00442070"/>
    <w:rsid w:val="0044311C"/>
    <w:rsid w:val="004523D1"/>
    <w:rsid w:val="00452AA4"/>
    <w:rsid w:val="0045632E"/>
    <w:rsid w:val="0045762C"/>
    <w:rsid w:val="00461B85"/>
    <w:rsid w:val="00462EDC"/>
    <w:rsid w:val="00467B0A"/>
    <w:rsid w:val="00474E81"/>
    <w:rsid w:val="0048111B"/>
    <w:rsid w:val="00492008"/>
    <w:rsid w:val="00493C97"/>
    <w:rsid w:val="0049708B"/>
    <w:rsid w:val="004A3642"/>
    <w:rsid w:val="004A4A95"/>
    <w:rsid w:val="004B02A6"/>
    <w:rsid w:val="004B04D3"/>
    <w:rsid w:val="004B142B"/>
    <w:rsid w:val="004B6E16"/>
    <w:rsid w:val="004C502B"/>
    <w:rsid w:val="004C7DCE"/>
    <w:rsid w:val="004D22AE"/>
    <w:rsid w:val="004D2EAA"/>
    <w:rsid w:val="004D31B6"/>
    <w:rsid w:val="004D78F4"/>
    <w:rsid w:val="004E0505"/>
    <w:rsid w:val="004E3693"/>
    <w:rsid w:val="004F0FBD"/>
    <w:rsid w:val="004F1B47"/>
    <w:rsid w:val="004F28E2"/>
    <w:rsid w:val="004F3D51"/>
    <w:rsid w:val="005004AA"/>
    <w:rsid w:val="005039CC"/>
    <w:rsid w:val="00505910"/>
    <w:rsid w:val="00511FFC"/>
    <w:rsid w:val="005173E0"/>
    <w:rsid w:val="00520198"/>
    <w:rsid w:val="005228D5"/>
    <w:rsid w:val="0052439F"/>
    <w:rsid w:val="00524BBF"/>
    <w:rsid w:val="005261B3"/>
    <w:rsid w:val="00532815"/>
    <w:rsid w:val="00532AFD"/>
    <w:rsid w:val="00533BAA"/>
    <w:rsid w:val="0053726A"/>
    <w:rsid w:val="00537769"/>
    <w:rsid w:val="005529DF"/>
    <w:rsid w:val="00553897"/>
    <w:rsid w:val="00557801"/>
    <w:rsid w:val="00557C10"/>
    <w:rsid w:val="00561224"/>
    <w:rsid w:val="00561A89"/>
    <w:rsid w:val="005637EC"/>
    <w:rsid w:val="0056445A"/>
    <w:rsid w:val="00570ECE"/>
    <w:rsid w:val="0058179B"/>
    <w:rsid w:val="005846C0"/>
    <w:rsid w:val="005849E9"/>
    <w:rsid w:val="00587334"/>
    <w:rsid w:val="00591707"/>
    <w:rsid w:val="005A328C"/>
    <w:rsid w:val="005A487D"/>
    <w:rsid w:val="005A5F94"/>
    <w:rsid w:val="005B06F3"/>
    <w:rsid w:val="005B1D1A"/>
    <w:rsid w:val="005B4D35"/>
    <w:rsid w:val="005B5D4B"/>
    <w:rsid w:val="005C1222"/>
    <w:rsid w:val="005C151C"/>
    <w:rsid w:val="005C20CD"/>
    <w:rsid w:val="005C28B6"/>
    <w:rsid w:val="005C5D8A"/>
    <w:rsid w:val="005C7BFB"/>
    <w:rsid w:val="005D4E07"/>
    <w:rsid w:val="005D53AE"/>
    <w:rsid w:val="005D64BC"/>
    <w:rsid w:val="005D65EE"/>
    <w:rsid w:val="005E033A"/>
    <w:rsid w:val="005E5792"/>
    <w:rsid w:val="005E77B7"/>
    <w:rsid w:val="005F0DED"/>
    <w:rsid w:val="005F145D"/>
    <w:rsid w:val="005F28DE"/>
    <w:rsid w:val="00605238"/>
    <w:rsid w:val="00605438"/>
    <w:rsid w:val="00605A45"/>
    <w:rsid w:val="00611723"/>
    <w:rsid w:val="00615499"/>
    <w:rsid w:val="00615FDE"/>
    <w:rsid w:val="00617D69"/>
    <w:rsid w:val="00624301"/>
    <w:rsid w:val="00633B33"/>
    <w:rsid w:val="00635BD0"/>
    <w:rsid w:val="0063641F"/>
    <w:rsid w:val="00637DE5"/>
    <w:rsid w:val="00642C11"/>
    <w:rsid w:val="006477B7"/>
    <w:rsid w:val="00653A2C"/>
    <w:rsid w:val="00657F5C"/>
    <w:rsid w:val="006674B9"/>
    <w:rsid w:val="006722E2"/>
    <w:rsid w:val="006732AD"/>
    <w:rsid w:val="006765A5"/>
    <w:rsid w:val="00681A09"/>
    <w:rsid w:val="00681F19"/>
    <w:rsid w:val="00686F3A"/>
    <w:rsid w:val="0068726F"/>
    <w:rsid w:val="00697242"/>
    <w:rsid w:val="006A0FF1"/>
    <w:rsid w:val="006A1AEC"/>
    <w:rsid w:val="006A2AE9"/>
    <w:rsid w:val="006A347D"/>
    <w:rsid w:val="006A5CE5"/>
    <w:rsid w:val="006A5D6A"/>
    <w:rsid w:val="006A70EA"/>
    <w:rsid w:val="006A74D3"/>
    <w:rsid w:val="006B159C"/>
    <w:rsid w:val="006B239C"/>
    <w:rsid w:val="006B33CF"/>
    <w:rsid w:val="006B5D2C"/>
    <w:rsid w:val="006B7F7B"/>
    <w:rsid w:val="006C00C5"/>
    <w:rsid w:val="006C07E5"/>
    <w:rsid w:val="006C179F"/>
    <w:rsid w:val="006C6261"/>
    <w:rsid w:val="006C7D45"/>
    <w:rsid w:val="006D3010"/>
    <w:rsid w:val="006E0768"/>
    <w:rsid w:val="006E1DDD"/>
    <w:rsid w:val="006E4CF2"/>
    <w:rsid w:val="006F1399"/>
    <w:rsid w:val="006F19BE"/>
    <w:rsid w:val="006F20DA"/>
    <w:rsid w:val="0070052F"/>
    <w:rsid w:val="00702FA5"/>
    <w:rsid w:val="00707E00"/>
    <w:rsid w:val="00713377"/>
    <w:rsid w:val="00717540"/>
    <w:rsid w:val="00721197"/>
    <w:rsid w:val="007239F2"/>
    <w:rsid w:val="00726939"/>
    <w:rsid w:val="007274BE"/>
    <w:rsid w:val="007333AC"/>
    <w:rsid w:val="0073429F"/>
    <w:rsid w:val="00735080"/>
    <w:rsid w:val="007369BE"/>
    <w:rsid w:val="00740D93"/>
    <w:rsid w:val="00741908"/>
    <w:rsid w:val="00742958"/>
    <w:rsid w:val="0075292F"/>
    <w:rsid w:val="0075576A"/>
    <w:rsid w:val="00761FAE"/>
    <w:rsid w:val="007655B3"/>
    <w:rsid w:val="00767303"/>
    <w:rsid w:val="0078077D"/>
    <w:rsid w:val="0078549F"/>
    <w:rsid w:val="00786475"/>
    <w:rsid w:val="00786555"/>
    <w:rsid w:val="00790607"/>
    <w:rsid w:val="00791D0A"/>
    <w:rsid w:val="007A68D3"/>
    <w:rsid w:val="007B02CE"/>
    <w:rsid w:val="007B09B9"/>
    <w:rsid w:val="007C40D9"/>
    <w:rsid w:val="007C6316"/>
    <w:rsid w:val="007D1042"/>
    <w:rsid w:val="007E3BF1"/>
    <w:rsid w:val="007E3FDF"/>
    <w:rsid w:val="007E5AB6"/>
    <w:rsid w:val="007E6885"/>
    <w:rsid w:val="007E6D8C"/>
    <w:rsid w:val="007F0D31"/>
    <w:rsid w:val="007F2ABC"/>
    <w:rsid w:val="007F4335"/>
    <w:rsid w:val="0080005E"/>
    <w:rsid w:val="00801228"/>
    <w:rsid w:val="00801FF2"/>
    <w:rsid w:val="00802F31"/>
    <w:rsid w:val="00803410"/>
    <w:rsid w:val="00803880"/>
    <w:rsid w:val="00805080"/>
    <w:rsid w:val="008123A3"/>
    <w:rsid w:val="00814388"/>
    <w:rsid w:val="008147A4"/>
    <w:rsid w:val="00817F76"/>
    <w:rsid w:val="0082060A"/>
    <w:rsid w:val="00831F83"/>
    <w:rsid w:val="008322BE"/>
    <w:rsid w:val="00835A43"/>
    <w:rsid w:val="008368AA"/>
    <w:rsid w:val="00836EC7"/>
    <w:rsid w:val="0083711E"/>
    <w:rsid w:val="008446FD"/>
    <w:rsid w:val="00850102"/>
    <w:rsid w:val="0086234D"/>
    <w:rsid w:val="00875DDF"/>
    <w:rsid w:val="0087652A"/>
    <w:rsid w:val="008768B4"/>
    <w:rsid w:val="00884C9A"/>
    <w:rsid w:val="00891DC2"/>
    <w:rsid w:val="00892081"/>
    <w:rsid w:val="00892A7D"/>
    <w:rsid w:val="00892ABF"/>
    <w:rsid w:val="008A01F8"/>
    <w:rsid w:val="008A1179"/>
    <w:rsid w:val="008A249C"/>
    <w:rsid w:val="008A447B"/>
    <w:rsid w:val="008B01B0"/>
    <w:rsid w:val="008B1229"/>
    <w:rsid w:val="008C09A4"/>
    <w:rsid w:val="008C3D17"/>
    <w:rsid w:val="008D4C29"/>
    <w:rsid w:val="008E4C9D"/>
    <w:rsid w:val="008F4E94"/>
    <w:rsid w:val="00900480"/>
    <w:rsid w:val="0090397C"/>
    <w:rsid w:val="009041F1"/>
    <w:rsid w:val="00905A7F"/>
    <w:rsid w:val="00905C25"/>
    <w:rsid w:val="00907292"/>
    <w:rsid w:val="00916AB0"/>
    <w:rsid w:val="00916CCB"/>
    <w:rsid w:val="0092326A"/>
    <w:rsid w:val="009251AA"/>
    <w:rsid w:val="0092541C"/>
    <w:rsid w:val="009328DC"/>
    <w:rsid w:val="00935526"/>
    <w:rsid w:val="009361E8"/>
    <w:rsid w:val="00937E68"/>
    <w:rsid w:val="009465DE"/>
    <w:rsid w:val="009506A8"/>
    <w:rsid w:val="00957A1D"/>
    <w:rsid w:val="00960F32"/>
    <w:rsid w:val="00964FBE"/>
    <w:rsid w:val="0096552F"/>
    <w:rsid w:val="00965BA8"/>
    <w:rsid w:val="009704A0"/>
    <w:rsid w:val="009725E4"/>
    <w:rsid w:val="00972861"/>
    <w:rsid w:val="009745D8"/>
    <w:rsid w:val="00977784"/>
    <w:rsid w:val="00980F87"/>
    <w:rsid w:val="0099019F"/>
    <w:rsid w:val="00990AE1"/>
    <w:rsid w:val="00994560"/>
    <w:rsid w:val="009A051D"/>
    <w:rsid w:val="009A1C71"/>
    <w:rsid w:val="009A2564"/>
    <w:rsid w:val="009A359D"/>
    <w:rsid w:val="009A5373"/>
    <w:rsid w:val="009A622C"/>
    <w:rsid w:val="009B658B"/>
    <w:rsid w:val="009C0A78"/>
    <w:rsid w:val="009C0AED"/>
    <w:rsid w:val="009C4396"/>
    <w:rsid w:val="009C4944"/>
    <w:rsid w:val="009C5479"/>
    <w:rsid w:val="009C7010"/>
    <w:rsid w:val="009C733C"/>
    <w:rsid w:val="009D38BC"/>
    <w:rsid w:val="009D55DD"/>
    <w:rsid w:val="009D6786"/>
    <w:rsid w:val="009E0B6E"/>
    <w:rsid w:val="009E1B11"/>
    <w:rsid w:val="009E4247"/>
    <w:rsid w:val="009F01FB"/>
    <w:rsid w:val="009F0756"/>
    <w:rsid w:val="009F0E1B"/>
    <w:rsid w:val="009F3E77"/>
    <w:rsid w:val="009F4493"/>
    <w:rsid w:val="00A02242"/>
    <w:rsid w:val="00A06F2F"/>
    <w:rsid w:val="00A07785"/>
    <w:rsid w:val="00A16540"/>
    <w:rsid w:val="00A166F9"/>
    <w:rsid w:val="00A16F29"/>
    <w:rsid w:val="00A17E49"/>
    <w:rsid w:val="00A25A87"/>
    <w:rsid w:val="00A27539"/>
    <w:rsid w:val="00A33444"/>
    <w:rsid w:val="00A348A4"/>
    <w:rsid w:val="00A354F7"/>
    <w:rsid w:val="00A369A5"/>
    <w:rsid w:val="00A40093"/>
    <w:rsid w:val="00A47492"/>
    <w:rsid w:val="00A527ED"/>
    <w:rsid w:val="00A600A1"/>
    <w:rsid w:val="00A65733"/>
    <w:rsid w:val="00A665B3"/>
    <w:rsid w:val="00A67B0D"/>
    <w:rsid w:val="00A80F53"/>
    <w:rsid w:val="00A838B7"/>
    <w:rsid w:val="00A83CF2"/>
    <w:rsid w:val="00A85641"/>
    <w:rsid w:val="00A86848"/>
    <w:rsid w:val="00A90B5C"/>
    <w:rsid w:val="00A913A8"/>
    <w:rsid w:val="00A919C6"/>
    <w:rsid w:val="00A92F7A"/>
    <w:rsid w:val="00A9678E"/>
    <w:rsid w:val="00AA28E2"/>
    <w:rsid w:val="00AA5E19"/>
    <w:rsid w:val="00AB3DCC"/>
    <w:rsid w:val="00AC3EA3"/>
    <w:rsid w:val="00AC41E4"/>
    <w:rsid w:val="00AC54C2"/>
    <w:rsid w:val="00AC7F05"/>
    <w:rsid w:val="00AD17CC"/>
    <w:rsid w:val="00AD7679"/>
    <w:rsid w:val="00AE4DA0"/>
    <w:rsid w:val="00AF1AF9"/>
    <w:rsid w:val="00B003FA"/>
    <w:rsid w:val="00B04617"/>
    <w:rsid w:val="00B072E8"/>
    <w:rsid w:val="00B07888"/>
    <w:rsid w:val="00B10496"/>
    <w:rsid w:val="00B13F59"/>
    <w:rsid w:val="00B166A1"/>
    <w:rsid w:val="00B23A2F"/>
    <w:rsid w:val="00B25508"/>
    <w:rsid w:val="00B27B5F"/>
    <w:rsid w:val="00B27D54"/>
    <w:rsid w:val="00B30FE3"/>
    <w:rsid w:val="00B43F79"/>
    <w:rsid w:val="00B447BE"/>
    <w:rsid w:val="00B459A3"/>
    <w:rsid w:val="00B5519E"/>
    <w:rsid w:val="00B55D99"/>
    <w:rsid w:val="00B63320"/>
    <w:rsid w:val="00B73E20"/>
    <w:rsid w:val="00B804BC"/>
    <w:rsid w:val="00B92493"/>
    <w:rsid w:val="00B95866"/>
    <w:rsid w:val="00B96C96"/>
    <w:rsid w:val="00BB13DC"/>
    <w:rsid w:val="00BB164F"/>
    <w:rsid w:val="00BC0986"/>
    <w:rsid w:val="00BC4DDE"/>
    <w:rsid w:val="00BC5444"/>
    <w:rsid w:val="00BC717C"/>
    <w:rsid w:val="00BC75B6"/>
    <w:rsid w:val="00BD1739"/>
    <w:rsid w:val="00BD449D"/>
    <w:rsid w:val="00BD5D45"/>
    <w:rsid w:val="00BE12E9"/>
    <w:rsid w:val="00BE254F"/>
    <w:rsid w:val="00BE3506"/>
    <w:rsid w:val="00BE547A"/>
    <w:rsid w:val="00BE7209"/>
    <w:rsid w:val="00BE7703"/>
    <w:rsid w:val="00BE7D8D"/>
    <w:rsid w:val="00BF1BE2"/>
    <w:rsid w:val="00BF29D2"/>
    <w:rsid w:val="00BF2A1C"/>
    <w:rsid w:val="00BF589E"/>
    <w:rsid w:val="00C03E8E"/>
    <w:rsid w:val="00C0788A"/>
    <w:rsid w:val="00C20ABA"/>
    <w:rsid w:val="00C230E7"/>
    <w:rsid w:val="00C24B7C"/>
    <w:rsid w:val="00C27773"/>
    <w:rsid w:val="00C326F5"/>
    <w:rsid w:val="00C327D8"/>
    <w:rsid w:val="00C414D2"/>
    <w:rsid w:val="00C467AA"/>
    <w:rsid w:val="00C475C8"/>
    <w:rsid w:val="00C52F0D"/>
    <w:rsid w:val="00C571A9"/>
    <w:rsid w:val="00C61C56"/>
    <w:rsid w:val="00C644E0"/>
    <w:rsid w:val="00C73236"/>
    <w:rsid w:val="00C73F75"/>
    <w:rsid w:val="00C74B7F"/>
    <w:rsid w:val="00C81B16"/>
    <w:rsid w:val="00C879E6"/>
    <w:rsid w:val="00C9064C"/>
    <w:rsid w:val="00C91635"/>
    <w:rsid w:val="00C93A58"/>
    <w:rsid w:val="00C9481B"/>
    <w:rsid w:val="00CA1020"/>
    <w:rsid w:val="00CA59D4"/>
    <w:rsid w:val="00CA6684"/>
    <w:rsid w:val="00CB27F8"/>
    <w:rsid w:val="00CB5C75"/>
    <w:rsid w:val="00CB70C6"/>
    <w:rsid w:val="00CC1423"/>
    <w:rsid w:val="00CD18EF"/>
    <w:rsid w:val="00CD2883"/>
    <w:rsid w:val="00CD446D"/>
    <w:rsid w:val="00CD683F"/>
    <w:rsid w:val="00CE0E90"/>
    <w:rsid w:val="00CE17BF"/>
    <w:rsid w:val="00CE771F"/>
    <w:rsid w:val="00CF4845"/>
    <w:rsid w:val="00D01829"/>
    <w:rsid w:val="00D155D3"/>
    <w:rsid w:val="00D20631"/>
    <w:rsid w:val="00D20E99"/>
    <w:rsid w:val="00D21398"/>
    <w:rsid w:val="00D22E3D"/>
    <w:rsid w:val="00D34544"/>
    <w:rsid w:val="00D35F6F"/>
    <w:rsid w:val="00D41244"/>
    <w:rsid w:val="00D4447E"/>
    <w:rsid w:val="00D500A9"/>
    <w:rsid w:val="00D57B11"/>
    <w:rsid w:val="00D6097D"/>
    <w:rsid w:val="00D6331E"/>
    <w:rsid w:val="00D652E9"/>
    <w:rsid w:val="00D7167B"/>
    <w:rsid w:val="00D71C27"/>
    <w:rsid w:val="00D737E6"/>
    <w:rsid w:val="00D80E18"/>
    <w:rsid w:val="00D87099"/>
    <w:rsid w:val="00D8782E"/>
    <w:rsid w:val="00D9302C"/>
    <w:rsid w:val="00DA0B11"/>
    <w:rsid w:val="00DA1450"/>
    <w:rsid w:val="00DA593D"/>
    <w:rsid w:val="00DA76C3"/>
    <w:rsid w:val="00DA785D"/>
    <w:rsid w:val="00DA7D79"/>
    <w:rsid w:val="00DB0C43"/>
    <w:rsid w:val="00DB1813"/>
    <w:rsid w:val="00DB6E09"/>
    <w:rsid w:val="00DB702C"/>
    <w:rsid w:val="00DC1E56"/>
    <w:rsid w:val="00DC2C3C"/>
    <w:rsid w:val="00DC5058"/>
    <w:rsid w:val="00DC5A7B"/>
    <w:rsid w:val="00DD7BFD"/>
    <w:rsid w:val="00DE2A84"/>
    <w:rsid w:val="00DE63C9"/>
    <w:rsid w:val="00DF47BA"/>
    <w:rsid w:val="00E0015F"/>
    <w:rsid w:val="00E03CB2"/>
    <w:rsid w:val="00E060C4"/>
    <w:rsid w:val="00E129B8"/>
    <w:rsid w:val="00E22E5B"/>
    <w:rsid w:val="00E3138B"/>
    <w:rsid w:val="00E31D80"/>
    <w:rsid w:val="00E33B76"/>
    <w:rsid w:val="00E35B6C"/>
    <w:rsid w:val="00E35B79"/>
    <w:rsid w:val="00E37E8C"/>
    <w:rsid w:val="00E42F9B"/>
    <w:rsid w:val="00E508AC"/>
    <w:rsid w:val="00E5115E"/>
    <w:rsid w:val="00E53F4B"/>
    <w:rsid w:val="00E5505C"/>
    <w:rsid w:val="00E56F3C"/>
    <w:rsid w:val="00E60914"/>
    <w:rsid w:val="00E76F4E"/>
    <w:rsid w:val="00E802FA"/>
    <w:rsid w:val="00E91438"/>
    <w:rsid w:val="00E9240A"/>
    <w:rsid w:val="00E93C6A"/>
    <w:rsid w:val="00EA520E"/>
    <w:rsid w:val="00EA5C53"/>
    <w:rsid w:val="00EA5F2A"/>
    <w:rsid w:val="00EB0397"/>
    <w:rsid w:val="00EB2F25"/>
    <w:rsid w:val="00EC49B6"/>
    <w:rsid w:val="00EC74BA"/>
    <w:rsid w:val="00ED1945"/>
    <w:rsid w:val="00ED2548"/>
    <w:rsid w:val="00ED31E4"/>
    <w:rsid w:val="00ED5E51"/>
    <w:rsid w:val="00EE0C4B"/>
    <w:rsid w:val="00EE16E0"/>
    <w:rsid w:val="00EE173B"/>
    <w:rsid w:val="00EE2D11"/>
    <w:rsid w:val="00EE4B11"/>
    <w:rsid w:val="00EE692F"/>
    <w:rsid w:val="00EE7666"/>
    <w:rsid w:val="00EF4512"/>
    <w:rsid w:val="00F02E02"/>
    <w:rsid w:val="00F060FF"/>
    <w:rsid w:val="00F071B4"/>
    <w:rsid w:val="00F12B4A"/>
    <w:rsid w:val="00F17A70"/>
    <w:rsid w:val="00F36007"/>
    <w:rsid w:val="00F37222"/>
    <w:rsid w:val="00F37D57"/>
    <w:rsid w:val="00F46864"/>
    <w:rsid w:val="00F46B2E"/>
    <w:rsid w:val="00F5133A"/>
    <w:rsid w:val="00F551DA"/>
    <w:rsid w:val="00F55EEE"/>
    <w:rsid w:val="00F61DBD"/>
    <w:rsid w:val="00F67457"/>
    <w:rsid w:val="00F67C7D"/>
    <w:rsid w:val="00F7403C"/>
    <w:rsid w:val="00F74A7C"/>
    <w:rsid w:val="00F76130"/>
    <w:rsid w:val="00F76A6F"/>
    <w:rsid w:val="00F83BF7"/>
    <w:rsid w:val="00F83CF8"/>
    <w:rsid w:val="00F87F59"/>
    <w:rsid w:val="00F9094E"/>
    <w:rsid w:val="00F949C7"/>
    <w:rsid w:val="00F96178"/>
    <w:rsid w:val="00F96ADE"/>
    <w:rsid w:val="00FA2D29"/>
    <w:rsid w:val="00FA618C"/>
    <w:rsid w:val="00FA6F64"/>
    <w:rsid w:val="00FA707C"/>
    <w:rsid w:val="00FB4ACF"/>
    <w:rsid w:val="00FB62A1"/>
    <w:rsid w:val="00FB7C26"/>
    <w:rsid w:val="00FC3E15"/>
    <w:rsid w:val="00FC444E"/>
    <w:rsid w:val="00FC5F35"/>
    <w:rsid w:val="00FD0F15"/>
    <w:rsid w:val="00FD278B"/>
    <w:rsid w:val="00FD6E3F"/>
    <w:rsid w:val="00FD704B"/>
    <w:rsid w:val="00FD7974"/>
    <w:rsid w:val="00FE2ECC"/>
    <w:rsid w:val="00FE35B1"/>
    <w:rsid w:val="00FE3B09"/>
    <w:rsid w:val="00FE68EF"/>
    <w:rsid w:val="00FE6DDC"/>
    <w:rsid w:val="00FF1FA3"/>
    <w:rsid w:val="00FF28A1"/>
    <w:rsid w:val="00FF2E6B"/>
    <w:rsid w:val="00FF568B"/>
    <w:rsid w:val="00FF59F7"/>
    <w:rsid w:val="00FF6889"/>
    <w:rsid w:val="02F32FFC"/>
    <w:rsid w:val="0A917CCA"/>
    <w:rsid w:val="0AEA3D79"/>
    <w:rsid w:val="142049B9"/>
    <w:rsid w:val="14627FE2"/>
    <w:rsid w:val="18100786"/>
    <w:rsid w:val="18BB449C"/>
    <w:rsid w:val="198E48E5"/>
    <w:rsid w:val="208E6682"/>
    <w:rsid w:val="22D84291"/>
    <w:rsid w:val="2F6A4F26"/>
    <w:rsid w:val="37237615"/>
    <w:rsid w:val="39ED2BEB"/>
    <w:rsid w:val="496B4C67"/>
    <w:rsid w:val="4D5F0F87"/>
    <w:rsid w:val="520D7203"/>
    <w:rsid w:val="5337592F"/>
    <w:rsid w:val="54716287"/>
    <w:rsid w:val="58552C2A"/>
    <w:rsid w:val="58C425E6"/>
    <w:rsid w:val="5D845EA0"/>
    <w:rsid w:val="5D9702C9"/>
    <w:rsid w:val="5F1217B2"/>
    <w:rsid w:val="60E25F71"/>
    <w:rsid w:val="67CA4DF7"/>
    <w:rsid w:val="6A081DAD"/>
    <w:rsid w:val="73FB2F08"/>
    <w:rsid w:val="7F1C50A8"/>
    <w:rsid w:val="7F271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qFormat/>
    <w:uiPriority w:val="0"/>
    <w:pPr>
      <w:jc w:val="left"/>
    </w:pPr>
    <w:rPr>
      <w:sz w:val="30"/>
      <w:szCs w:val="20"/>
    </w:rPr>
  </w:style>
  <w:style w:type="paragraph" w:styleId="3">
    <w:name w:val="Body Text"/>
    <w:basedOn w:val="1"/>
    <w:link w:val="18"/>
    <w:autoRedefine/>
    <w:unhideWhenUsed/>
    <w:qFormat/>
    <w:uiPriority w:val="0"/>
    <w:pPr>
      <w:spacing w:after="120"/>
    </w:p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sz w:val="30"/>
      <w:szCs w:val="20"/>
    </w:rPr>
  </w:style>
  <w:style w:type="paragraph" w:styleId="5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7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24"/>
    <w:qFormat/>
    <w:uiPriority w:val="0"/>
    <w:rPr>
      <w:b/>
      <w:bCs/>
    </w:rPr>
  </w:style>
  <w:style w:type="paragraph" w:styleId="11">
    <w:name w:val="Body Text First Indent"/>
    <w:basedOn w:val="1"/>
    <w:link w:val="19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161874"/>
      <w:kern w:val="0"/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页脚 Char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 Char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首行缩进 Char"/>
    <w:link w:val="11"/>
    <w:qFormat/>
    <w:uiPriority w:val="0"/>
    <w:rPr>
      <w:rFonts w:ascii="宋体" w:hAnsi="宋体" w:eastAsia="宋体" w:cs="Times New Roman"/>
      <w:color w:val="161874"/>
      <w:kern w:val="0"/>
      <w:sz w:val="24"/>
      <w:szCs w:val="24"/>
    </w:rPr>
  </w:style>
  <w:style w:type="character" w:customStyle="1" w:styleId="20">
    <w:name w:val="页眉 Char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21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Roman PS" w:hAnsi="Roman PS"/>
      <w:szCs w:val="20"/>
    </w:rPr>
  </w:style>
  <w:style w:type="character" w:customStyle="1" w:styleId="22">
    <w:name w:val="批注框文本 Char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3">
    <w:name w:val="批注文字 Char"/>
    <w:link w:val="2"/>
    <w:qFormat/>
    <w:uiPriority w:val="0"/>
    <w:rPr>
      <w:rFonts w:ascii="Times New Roman" w:hAnsi="Times New Roman"/>
      <w:kern w:val="2"/>
      <w:sz w:val="30"/>
    </w:rPr>
  </w:style>
  <w:style w:type="character" w:customStyle="1" w:styleId="24">
    <w:name w:val="批注主题 Char"/>
    <w:link w:val="10"/>
    <w:qFormat/>
    <w:uiPriority w:val="0"/>
    <w:rPr>
      <w:rFonts w:ascii="Times New Roman" w:hAnsi="Times New Roman"/>
      <w:b/>
      <w:bCs/>
      <w:kern w:val="2"/>
      <w:sz w:val="30"/>
    </w:rPr>
  </w:style>
  <w:style w:type="character" w:customStyle="1" w:styleId="25">
    <w:name w:val="日期 Char"/>
    <w:link w:val="4"/>
    <w:qFormat/>
    <w:uiPriority w:val="0"/>
    <w:rPr>
      <w:rFonts w:ascii="Times New Roman" w:hAnsi="Times New Roman"/>
      <w:kern w:val="2"/>
      <w:sz w:val="30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">
    <w:name w:val="HTML 预设格式 Char"/>
    <w:basedOn w:val="14"/>
    <w:link w:val="8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2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A54F-74F5-4B04-9CBA-BF88A9096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</Pages>
  <Words>1259</Words>
  <Characters>7180</Characters>
  <Lines>59</Lines>
  <Paragraphs>16</Paragraphs>
  <TotalTime>173</TotalTime>
  <ScaleCrop>false</ScaleCrop>
  <LinksUpToDate>false</LinksUpToDate>
  <CharactersWithSpaces>8423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2023-02-09T11:25:00Z</dcterms:created>
  <dc:creator>杨晋超</dc:creator>
  <cp:lastModifiedBy>若有其事</cp:lastModifiedBy>
  <cp:lastPrinted>2024-02-21T02:07:00Z</cp:lastPrinted>
  <dcterms:modified xsi:type="dcterms:W3CDTF">2024-03-05T02:02:01Z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E558E2CCBDF74AABABA4B67FB2205D58_13</vt:lpwstr>
  </property>
</Properties>
</file>