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41" w:hanging="140" w:hangingChars="32"/>
        <w:jc w:val="center"/>
        <w:rPr>
          <w:rFonts w:ascii="Times New Roman" w:hAnsi="Times New Roman" w:eastAsia="方正小标宋_GBK" w:cs="Times New Roman"/>
          <w:sz w:val="44"/>
          <w:szCs w:val="44"/>
        </w:rPr>
      </w:pPr>
    </w:p>
    <w:p>
      <w:pPr>
        <w:spacing w:line="560" w:lineRule="exact"/>
        <w:ind w:left="141" w:hanging="140" w:hangingChars="32"/>
        <w:jc w:val="center"/>
        <w:rPr>
          <w:rFonts w:ascii="方正楷体_GBK" w:hAnsi="Times New Roman" w:eastAsia="方正楷体_GBK" w:cs="Times New Roman"/>
          <w:sz w:val="44"/>
          <w:szCs w:val="44"/>
        </w:rPr>
      </w:pPr>
      <w:bookmarkStart w:id="2" w:name="_GoBack"/>
      <w:r>
        <w:rPr>
          <w:rFonts w:hint="eastAsia" w:ascii="Times New Roman" w:hAnsi="Times New Roman" w:eastAsia="方正小标宋_GBK" w:cs="Times New Roman"/>
          <w:sz w:val="44"/>
          <w:szCs w:val="44"/>
        </w:rPr>
        <w:t>《无锡市全民癌症防控行动方案》政策解读</w:t>
      </w:r>
    </w:p>
    <w:bookmarkEnd w:id="2"/>
    <w:p>
      <w:pPr>
        <w:spacing w:line="560" w:lineRule="exact"/>
        <w:ind w:leftChars="-67" w:right="-57" w:rightChars="-27" w:hanging="140" w:hangingChars="32"/>
        <w:jc w:val="center"/>
        <w:rPr>
          <w:rFonts w:ascii="Times New Roman" w:hAnsi="Times New Roman" w:eastAsia="方正小标宋_GBK" w:cs="Times New Roman"/>
          <w:sz w:val="44"/>
          <w:szCs w:val="44"/>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背景</w:t>
      </w:r>
      <w:r>
        <w:rPr>
          <w:rFonts w:ascii="Times New Roman" w:hAnsi="Times New Roman" w:eastAsia="黑体" w:cs="Times New Roman"/>
          <w:sz w:val="32"/>
          <w:szCs w:val="32"/>
        </w:rPr>
        <w:t>依据</w:t>
      </w:r>
    </w:p>
    <w:p>
      <w:pPr>
        <w:spacing w:line="560" w:lineRule="exact"/>
        <w:ind w:firstLine="640" w:firstLineChars="200"/>
        <w:rPr>
          <w:rFonts w:ascii="Times New Roman" w:hAnsi="Times New Roman" w:eastAsia="方正仿宋_GBK" w:cs="Times New Roman"/>
          <w:sz w:val="32"/>
          <w:szCs w:val="32"/>
        </w:rPr>
      </w:pPr>
      <w:bookmarkStart w:id="0" w:name="_Hlk152337508"/>
      <w:r>
        <w:rPr>
          <w:rFonts w:hint="eastAsia" w:ascii="Times New Roman" w:hAnsi="Times New Roman" w:eastAsia="方正仿宋_GBK" w:cs="Times New Roman"/>
          <w:sz w:val="32"/>
          <w:szCs w:val="32"/>
        </w:rPr>
        <w:t>恶性肿瘤已多年位居我市居民死因的第一位，成为影响我市居民健康的重大公共卫生问题，防治形势严峻。市委市政府始终高度重视癌症综合防控工作，将癌症筛查与早诊早治项目作为重大民生工程，为社会化管理的企退人员和65周岁以上老年人实施肿瘤标志物免费检测，在惠山区、锡山区、梁溪区先后开展了“癌症防控全链条全周期无锡试点项目”，初步形成了区域性癌症防控“无锡做法”。为深入实施癌症筛查和早诊早治全周期管理，不断提升无锡市癌症综合防治能力，有效减少癌症带来的危害，增进群众健康福祉，特制定本《行动方案》。</w:t>
      </w:r>
    </w:p>
    <w:bookmarkEnd w:id="0"/>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二、总体目标</w:t>
      </w:r>
    </w:p>
    <w:p>
      <w:pPr>
        <w:spacing w:line="560" w:lineRule="exact"/>
        <w:ind w:firstLine="640" w:firstLineChars="200"/>
        <w:rPr>
          <w:rFonts w:ascii="方正仿宋_GBK" w:hAnsi="Times New Roman" w:eastAsia="方正仿宋_GBK" w:cs="Times New Roman"/>
          <w:bCs/>
          <w:sz w:val="32"/>
          <w:szCs w:val="32"/>
        </w:rPr>
      </w:pPr>
      <w:r>
        <w:rPr>
          <w:rFonts w:hint="eastAsia" w:ascii="方正仿宋_GBK" w:hAnsi="Times New Roman" w:eastAsia="方正仿宋_GBK" w:cs="Times New Roman"/>
          <w:bCs/>
          <w:sz w:val="32"/>
          <w:szCs w:val="32"/>
        </w:rPr>
        <w:t>一是依托国家标准化癌症筛查与早诊早治无锡分中心，建立“可知晓、可评估、可筛查、可诊疗、可康复”的“五位一体”全民癌症防控体系。</w:t>
      </w:r>
    </w:p>
    <w:p>
      <w:pPr>
        <w:spacing w:line="560" w:lineRule="exact"/>
        <w:ind w:firstLine="640" w:firstLineChars="200"/>
        <w:rPr>
          <w:rFonts w:ascii="方正仿宋_GBK" w:hAnsi="Times New Roman" w:eastAsia="方正仿宋_GBK" w:cs="Times New Roman"/>
          <w:bCs/>
          <w:sz w:val="32"/>
          <w:szCs w:val="32"/>
        </w:rPr>
      </w:pPr>
      <w:r>
        <w:rPr>
          <w:rFonts w:hint="eastAsia" w:ascii="方正仿宋_GBK" w:hAnsi="Times New Roman" w:eastAsia="方正仿宋_GBK" w:cs="Times New Roman"/>
          <w:bCs/>
          <w:sz w:val="32"/>
          <w:szCs w:val="32"/>
        </w:rPr>
        <w:t>二是“十四五”期末，力争实现居民癌症防治核心知识知晓率达75%，重点癌症早诊率达60%，总体癌症5年生存率达47%。</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主要内容</w:t>
      </w:r>
    </w:p>
    <w:p>
      <w:pPr>
        <w:spacing w:line="560" w:lineRule="exact"/>
        <w:ind w:firstLine="640" w:firstLineChars="200"/>
        <w:rPr>
          <w:rFonts w:ascii="方正仿宋_GBK" w:hAnsi="Times New Roman" w:eastAsia="方正仿宋_GBK" w:cs="Times New Roman"/>
          <w:bCs/>
          <w:sz w:val="32"/>
          <w:szCs w:val="32"/>
        </w:rPr>
      </w:pPr>
      <w:bookmarkStart w:id="1" w:name="_Hlk152337626"/>
      <w:r>
        <w:rPr>
          <w:rFonts w:hint="eastAsia" w:ascii="方正仿宋_GBK" w:hAnsi="Times New Roman" w:eastAsia="方正仿宋_GBK" w:cs="Times New Roman"/>
          <w:bCs/>
          <w:sz w:val="32"/>
          <w:szCs w:val="32"/>
        </w:rPr>
        <w:t>面向市区18岁以上所有常住居民，每3年完成一轮全覆盖筛查。</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一是初筛评估。</w:t>
      </w:r>
      <w:r>
        <w:rPr>
          <w:rFonts w:hint="eastAsia" w:ascii="方正仿宋_GBK" w:hAnsi="Times New Roman" w:eastAsia="方正仿宋_GBK" w:cs="Times New Roman"/>
          <w:bCs/>
          <w:sz w:val="32"/>
          <w:szCs w:val="32"/>
        </w:rPr>
        <w:t>在18至74周岁人群中开展癌症风险评估：包括问卷调查和3项生物学检测（乙肝病毒表面抗原、粪便隐血试验和幽门螺杆菌抗体）；在纳入社会化管理的企业退休人员和65周岁以上人群中开展12种肿瘤标志物检测。</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二是精查确诊。</w:t>
      </w:r>
      <w:r>
        <w:rPr>
          <w:rFonts w:hint="eastAsia" w:ascii="方正仿宋_GBK" w:hAnsi="Times New Roman" w:eastAsia="方正仿宋_GBK" w:cs="Times New Roman"/>
          <w:bCs/>
          <w:sz w:val="32"/>
          <w:szCs w:val="32"/>
        </w:rPr>
        <w:t>对经癌症风险评估或肿瘤标志物检测结果为五类癌症的高风险人群，行进一步检查确诊，具体为：肺癌高危开展低剂量螺旋C</w:t>
      </w:r>
      <w:r>
        <w:rPr>
          <w:rFonts w:ascii="方正仿宋_GBK" w:hAnsi="Times New Roman" w:eastAsia="方正仿宋_GBK" w:cs="Times New Roman"/>
          <w:bCs/>
          <w:sz w:val="32"/>
          <w:szCs w:val="32"/>
        </w:rPr>
        <w:t>T</w:t>
      </w:r>
      <w:r>
        <w:rPr>
          <w:rFonts w:hint="eastAsia" w:ascii="方正仿宋_GBK" w:hAnsi="Times New Roman" w:eastAsia="方正仿宋_GBK" w:cs="Times New Roman"/>
          <w:bCs/>
          <w:sz w:val="32"/>
          <w:szCs w:val="32"/>
        </w:rPr>
        <w:t>、乳腺癌高危开展乳腺超声联合钼靶、肝癌高危开展腹部超声、上消化道癌高危开展内镜、结直肠癌高危开展肠镜检查。</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三是治疗康复。</w:t>
      </w:r>
      <w:r>
        <w:rPr>
          <w:rFonts w:hint="eastAsia" w:ascii="方正仿宋_GBK" w:hAnsi="Times New Roman" w:eastAsia="方正仿宋_GBK" w:cs="Times New Roman"/>
          <w:bCs/>
          <w:sz w:val="32"/>
          <w:szCs w:val="32"/>
        </w:rPr>
        <w:t>癌症确诊患者按照临床各癌症的诊疗规范进行治疗和康复，促进其手术或放、化疗后机体功能恢复，提高生存时间和生活质量。</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四是动态随访。</w:t>
      </w:r>
      <w:r>
        <w:rPr>
          <w:rFonts w:hint="eastAsia" w:ascii="方正仿宋_GBK" w:hAnsi="Times New Roman" w:eastAsia="方正仿宋_GBK" w:cs="Times New Roman"/>
          <w:bCs/>
          <w:sz w:val="32"/>
          <w:szCs w:val="32"/>
        </w:rPr>
        <w:t>对癌症确诊患者、高风险人群分类实施随访，促进其按照临床技术路径接受进一步检查，充分发挥家庭医生作用，评估患者的恢复情况，给予进一步的药物、心理、营养以及运动等指导。</w:t>
      </w:r>
    </w:p>
    <w:bookmarkEnd w:id="1"/>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四、体系建设</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一是成立国家标准化癌症筛查与早诊早治无锡分中心。</w:t>
      </w:r>
      <w:r>
        <w:rPr>
          <w:rFonts w:hint="eastAsia" w:ascii="方正仿宋_GBK" w:hAnsi="Times New Roman" w:eastAsia="方正仿宋_GBK" w:cs="Times New Roman"/>
          <w:bCs/>
          <w:sz w:val="32"/>
          <w:szCs w:val="32"/>
        </w:rPr>
        <w:t>作为无锡全民癌症防控行动布局规划、运行指导、评估考核的决策指导机构。</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二是打造“数字化癌症风险评估无锡模式”</w:t>
      </w:r>
      <w:r>
        <w:rPr>
          <w:rFonts w:hint="eastAsia" w:ascii="方正仿宋_GBK" w:hAnsi="Times New Roman" w:eastAsia="方正仿宋_GBK" w:cs="Times New Roman"/>
          <w:bCs/>
          <w:sz w:val="32"/>
          <w:szCs w:val="32"/>
        </w:rPr>
        <w:t>。对接“国家癌症防控平台”，基于无锡市全民健康信息平台公共卫生数据中心，建设“无锡市癌症防控全链条全周期管理子系统”。</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三是完善“无锡市居民癌症筛查体系”。</w:t>
      </w:r>
      <w:r>
        <w:rPr>
          <w:rFonts w:hint="eastAsia" w:ascii="方正仿宋_GBK" w:hAnsi="Times New Roman" w:eastAsia="方正仿宋_GBK" w:cs="Times New Roman"/>
          <w:bCs/>
          <w:sz w:val="32"/>
          <w:szCs w:val="32"/>
        </w:rPr>
        <w:t>依托无锡市现有医疗卫生资源，遴选具备条件的医疗卫生机构为“国家标准化癌症筛查推广与管理中心联盟机构”，建立健全“市—区/县—基层”三级癌症筛查防治网络。</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四是建立“癌症康复全周期管理体系”。</w:t>
      </w:r>
      <w:r>
        <w:rPr>
          <w:rFonts w:hint="eastAsia" w:ascii="方正仿宋_GBK" w:hAnsi="Times New Roman" w:eastAsia="方正仿宋_GBK" w:cs="Times New Roman"/>
          <w:bCs/>
          <w:sz w:val="32"/>
          <w:szCs w:val="32"/>
        </w:rPr>
        <w:t>探索建立从医院到社区到家庭三级康复服务模式，保证患者到医院到家庭的康复延续性，提高患者的可及性、依从性、体验感。</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五、保障措施</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一是加强组织领导。</w:t>
      </w:r>
      <w:r>
        <w:rPr>
          <w:rFonts w:hint="eastAsia" w:ascii="方正仿宋_GBK" w:hAnsi="Times New Roman" w:eastAsia="方正仿宋_GBK" w:cs="Times New Roman"/>
          <w:bCs/>
          <w:sz w:val="32"/>
          <w:szCs w:val="32"/>
        </w:rPr>
        <w:t>依托“健康无锡”建设领导小组，将全民癌症防控行动纳入健康无锡建设考核指标。充分发挥“健康无锡”建设领导小组成员单位作用，共同推动全民癌症防控行动落实。</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二是落实经费保障。</w:t>
      </w:r>
      <w:r>
        <w:rPr>
          <w:rFonts w:hint="eastAsia" w:ascii="方正仿宋_GBK" w:hAnsi="Times New Roman" w:eastAsia="方正仿宋_GBK" w:cs="Times New Roman"/>
          <w:bCs/>
          <w:sz w:val="32"/>
          <w:szCs w:val="32"/>
        </w:rPr>
        <w:t>行动所需经费由政府、医保基金、单位、个人、慈善等共同承担。各级政府要落实财政投入，建立多元化资金筹措机制，对重点群体坚持政府兜底。</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三是提高保障水平。</w:t>
      </w:r>
      <w:r>
        <w:rPr>
          <w:rFonts w:hint="eastAsia" w:ascii="方正仿宋_GBK" w:hAnsi="Times New Roman" w:eastAsia="方正仿宋_GBK" w:cs="Times New Roman"/>
          <w:bCs/>
          <w:sz w:val="32"/>
          <w:szCs w:val="32"/>
        </w:rPr>
        <w:t>各级各类机关企事业单位将居民癌症防控行动纳入单位人员健康体检项目，认真组织实施。充分发挥社会组织在癌症防控中的作用，积极鼓励社会资本投入癌症防控领域，为癌症综合防控行动提供公益性支持。</w:t>
      </w:r>
    </w:p>
    <w:p>
      <w:pPr>
        <w:spacing w:line="560" w:lineRule="exact"/>
        <w:ind w:firstLine="640" w:firstLineChars="200"/>
        <w:rPr>
          <w:rFonts w:ascii="方正仿宋_GBK" w:hAnsi="Times New Roman" w:eastAsia="方正仿宋_GBK" w:cs="Times New Roman"/>
          <w:bCs/>
          <w:sz w:val="32"/>
          <w:szCs w:val="32"/>
        </w:rPr>
      </w:pPr>
      <w:r>
        <w:rPr>
          <w:rFonts w:hint="eastAsia" w:ascii="楷体_GB2312" w:hAnsi="Times New Roman" w:eastAsia="楷体_GB2312" w:cs="Times New Roman"/>
          <w:bCs/>
          <w:sz w:val="32"/>
          <w:szCs w:val="32"/>
        </w:rPr>
        <w:t>四是推动产业发展。</w:t>
      </w:r>
      <w:r>
        <w:rPr>
          <w:rFonts w:hint="eastAsia" w:ascii="方正仿宋_GBK" w:hAnsi="Times New Roman" w:eastAsia="方正仿宋_GBK" w:cs="Times New Roman"/>
          <w:bCs/>
          <w:sz w:val="32"/>
          <w:szCs w:val="32"/>
        </w:rPr>
        <w:t>加强对本地癌症检测、治疗相关产业支持，采取政府购买服务、科技成果转化等形式，支持培育在锡成果转化的创新创业项目，培育一批面向重大疾病的研发和生产的本土企业品牌。</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728F8E-7F1A-448A-B4F6-0C58F4CF1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E952D16-0222-494F-AF61-2972D2E07AB9}"/>
  </w:font>
  <w:font w:name="方正楷体_GBK">
    <w:panose1 w:val="02000000000000000000"/>
    <w:charset w:val="86"/>
    <w:family w:val="script"/>
    <w:pitch w:val="default"/>
    <w:sig w:usb0="A00002BF" w:usb1="38CF7CFA" w:usb2="00082016" w:usb3="00000000" w:csb0="00040001" w:csb1="00000000"/>
    <w:embedRegular r:id="rId3" w:fontKey="{151A709F-EF8B-4C74-B357-289517345178}"/>
  </w:font>
  <w:font w:name="方正仿宋_GBK">
    <w:panose1 w:val="02000000000000000000"/>
    <w:charset w:val="86"/>
    <w:family w:val="script"/>
    <w:pitch w:val="default"/>
    <w:sig w:usb0="A00002BF" w:usb1="38CF7CFA" w:usb2="00082016" w:usb3="00000000" w:csb0="00040001" w:csb1="00000000"/>
    <w:embedRegular r:id="rId4" w:fontKey="{3BF8614B-07CC-4926-AB90-781C93C3D41F}"/>
  </w:font>
  <w:font w:name="楷体_GB2312">
    <w:panose1 w:val="02010609030101010101"/>
    <w:charset w:val="86"/>
    <w:family w:val="modern"/>
    <w:pitch w:val="default"/>
    <w:sig w:usb0="00000001" w:usb1="080E0000" w:usb2="00000000" w:usb3="00000000" w:csb0="00040000" w:csb1="00000000"/>
    <w:embedRegular r:id="rId5" w:fontKey="{A260A599-4DA4-4208-86DB-65392A5BD4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K" w:eastAsia="方正仿宋_GBK"/>
                              <w:sz w:val="28"/>
                              <w:szCs w:val="28"/>
                            </w:rPr>
                            <w:t>—</w:t>
                          </w:r>
                          <w:sdt>
                            <w:sdtPr>
                              <w:rPr>
                                <w:rFonts w:hint="eastAsia" w:ascii="方正仿宋_GBK" w:eastAsia="方正仿宋_GBK"/>
                                <w:sz w:val="28"/>
                                <w:szCs w:val="28"/>
                              </w:rPr>
                              <w:id w:val="579794440"/>
                            </w:sdtPr>
                            <w:sdtEndPr>
                              <w:rPr>
                                <w:rFonts w:hint="eastAsia" w:ascii="方正仿宋_GBK" w:eastAsia="方正仿宋_GBK"/>
                                <w:sz w:val="28"/>
                                <w:szCs w:val="28"/>
                              </w:rPr>
                            </w:sdtEndPr>
                            <w:sdtContent>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2</w:t>
                              </w:r>
                              <w:r>
                                <w:rPr>
                                  <w:rFonts w:hint="eastAsia" w:ascii="方正仿宋_GBK" w:eastAsia="方正仿宋_GBK"/>
                                  <w:sz w:val="28"/>
                                  <w:szCs w:val="28"/>
                                </w:rPr>
                                <w:fldChar w:fldCharType="end"/>
                              </w:r>
                              <w:r>
                                <w:rPr>
                                  <w:rFonts w:hint="eastAsia" w:ascii="方正仿宋_GBK" w:eastAsia="方正仿宋_GBK"/>
                                  <w:sz w:val="28"/>
                                  <w:szCs w:val="28"/>
                                </w:rPr>
                                <w:t>—</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ascii="方正仿宋_GBK" w:eastAsia="方正仿宋_GBK"/>
                        <w:sz w:val="28"/>
                        <w:szCs w:val="28"/>
                      </w:rPr>
                      <w:t>—</w:t>
                    </w:r>
                    <w:sdt>
                      <w:sdtPr>
                        <w:rPr>
                          <w:rFonts w:hint="eastAsia" w:ascii="方正仿宋_GBK" w:eastAsia="方正仿宋_GBK"/>
                          <w:sz w:val="28"/>
                          <w:szCs w:val="28"/>
                        </w:rPr>
                        <w:id w:val="579794440"/>
                      </w:sdtPr>
                      <w:sdtEndPr>
                        <w:rPr>
                          <w:rFonts w:hint="eastAsia" w:ascii="方正仿宋_GBK" w:eastAsia="方正仿宋_GBK"/>
                          <w:sz w:val="28"/>
                          <w:szCs w:val="28"/>
                        </w:rPr>
                      </w:sdtEndPr>
                      <w:sdtContent>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2</w:t>
                        </w:r>
                        <w:r>
                          <w:rPr>
                            <w:rFonts w:hint="eastAsia" w:ascii="方正仿宋_GBK" w:eastAsia="方正仿宋_GBK"/>
                            <w:sz w:val="28"/>
                            <w:szCs w:val="28"/>
                          </w:rPr>
                          <w:fldChar w:fldCharType="end"/>
                        </w:r>
                        <w:r>
                          <w:rPr>
                            <w:rFonts w:hint="eastAsia" w:ascii="方正仿宋_GBK" w:eastAsia="方正仿宋_GBK"/>
                            <w:sz w:val="28"/>
                            <w:szCs w:val="28"/>
                          </w:rPr>
                          <w:t>—</w:t>
                        </w:r>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WwMLAwNbcwMTcxMDJQ0lEKTi0uzszPAykwrwUA7mwNfSwAAAA="/>
    <w:docVar w:name="commondata" w:val="eyJoZGlkIjoiNmFiZGU3NWQ5MzI1YWQ0M2EzMDA5YTVmZjIzOGZlNmQifQ=="/>
  </w:docVars>
  <w:rsids>
    <w:rsidRoot w:val="00C0521C"/>
    <w:rsid w:val="00007D76"/>
    <w:rsid w:val="0001129F"/>
    <w:rsid w:val="000350FD"/>
    <w:rsid w:val="00035887"/>
    <w:rsid w:val="00052AFD"/>
    <w:rsid w:val="00060BC7"/>
    <w:rsid w:val="00067600"/>
    <w:rsid w:val="00087D89"/>
    <w:rsid w:val="000A6791"/>
    <w:rsid w:val="000B477C"/>
    <w:rsid w:val="000D6BF4"/>
    <w:rsid w:val="000E1DFE"/>
    <w:rsid w:val="000E4A1B"/>
    <w:rsid w:val="000F6C75"/>
    <w:rsid w:val="001156C4"/>
    <w:rsid w:val="00147A43"/>
    <w:rsid w:val="00164C7A"/>
    <w:rsid w:val="00166C01"/>
    <w:rsid w:val="00172C74"/>
    <w:rsid w:val="00175FCD"/>
    <w:rsid w:val="001762E3"/>
    <w:rsid w:val="001A0E97"/>
    <w:rsid w:val="001A2A9A"/>
    <w:rsid w:val="001B494A"/>
    <w:rsid w:val="001C16F0"/>
    <w:rsid w:val="001D13F6"/>
    <w:rsid w:val="001E00C1"/>
    <w:rsid w:val="001E6551"/>
    <w:rsid w:val="001E77A2"/>
    <w:rsid w:val="00204515"/>
    <w:rsid w:val="00204C82"/>
    <w:rsid w:val="002065D3"/>
    <w:rsid w:val="00236F31"/>
    <w:rsid w:val="00261C50"/>
    <w:rsid w:val="0026585B"/>
    <w:rsid w:val="002723CC"/>
    <w:rsid w:val="00282710"/>
    <w:rsid w:val="002B248C"/>
    <w:rsid w:val="002B7F00"/>
    <w:rsid w:val="002C4699"/>
    <w:rsid w:val="002E4F58"/>
    <w:rsid w:val="002F40DE"/>
    <w:rsid w:val="00303BEC"/>
    <w:rsid w:val="003204EF"/>
    <w:rsid w:val="00324C76"/>
    <w:rsid w:val="003663BB"/>
    <w:rsid w:val="00376B51"/>
    <w:rsid w:val="003A0DC1"/>
    <w:rsid w:val="003A3630"/>
    <w:rsid w:val="003A7DD4"/>
    <w:rsid w:val="003B099D"/>
    <w:rsid w:val="003B57C3"/>
    <w:rsid w:val="003B609A"/>
    <w:rsid w:val="0041756B"/>
    <w:rsid w:val="00451F88"/>
    <w:rsid w:val="00497490"/>
    <w:rsid w:val="004A313D"/>
    <w:rsid w:val="004C4D65"/>
    <w:rsid w:val="004F0BC6"/>
    <w:rsid w:val="004F11E2"/>
    <w:rsid w:val="005331C3"/>
    <w:rsid w:val="00562E79"/>
    <w:rsid w:val="00590F42"/>
    <w:rsid w:val="005C4C71"/>
    <w:rsid w:val="005C5B43"/>
    <w:rsid w:val="005E18F6"/>
    <w:rsid w:val="005E5667"/>
    <w:rsid w:val="0060170F"/>
    <w:rsid w:val="00625A96"/>
    <w:rsid w:val="00627CA0"/>
    <w:rsid w:val="00646617"/>
    <w:rsid w:val="00671A7E"/>
    <w:rsid w:val="00696614"/>
    <w:rsid w:val="006A1D2E"/>
    <w:rsid w:val="006C4D9E"/>
    <w:rsid w:val="00726822"/>
    <w:rsid w:val="00730CB2"/>
    <w:rsid w:val="007621EA"/>
    <w:rsid w:val="007659C8"/>
    <w:rsid w:val="00774013"/>
    <w:rsid w:val="007B79C0"/>
    <w:rsid w:val="007E557B"/>
    <w:rsid w:val="007E7A8C"/>
    <w:rsid w:val="007F20CE"/>
    <w:rsid w:val="008278E4"/>
    <w:rsid w:val="00847E0A"/>
    <w:rsid w:val="00855935"/>
    <w:rsid w:val="00873FCA"/>
    <w:rsid w:val="00883A1D"/>
    <w:rsid w:val="008D6704"/>
    <w:rsid w:val="008F0BEA"/>
    <w:rsid w:val="00906718"/>
    <w:rsid w:val="00941110"/>
    <w:rsid w:val="009450CC"/>
    <w:rsid w:val="00967F8C"/>
    <w:rsid w:val="00987A78"/>
    <w:rsid w:val="009A40E6"/>
    <w:rsid w:val="009A4DAA"/>
    <w:rsid w:val="009A66AE"/>
    <w:rsid w:val="009B5202"/>
    <w:rsid w:val="009C5155"/>
    <w:rsid w:val="009C5503"/>
    <w:rsid w:val="009E0639"/>
    <w:rsid w:val="009E32F8"/>
    <w:rsid w:val="009F1AA5"/>
    <w:rsid w:val="00A01D23"/>
    <w:rsid w:val="00A035F5"/>
    <w:rsid w:val="00A26732"/>
    <w:rsid w:val="00A41AA7"/>
    <w:rsid w:val="00A466B3"/>
    <w:rsid w:val="00A47DAD"/>
    <w:rsid w:val="00A54A45"/>
    <w:rsid w:val="00A56E6C"/>
    <w:rsid w:val="00A93D83"/>
    <w:rsid w:val="00AB22CF"/>
    <w:rsid w:val="00AE2588"/>
    <w:rsid w:val="00AF304D"/>
    <w:rsid w:val="00B06045"/>
    <w:rsid w:val="00B12AFB"/>
    <w:rsid w:val="00B23A11"/>
    <w:rsid w:val="00B41710"/>
    <w:rsid w:val="00B522E6"/>
    <w:rsid w:val="00B60B6B"/>
    <w:rsid w:val="00B63BDF"/>
    <w:rsid w:val="00B63C8E"/>
    <w:rsid w:val="00B75EE2"/>
    <w:rsid w:val="00BC460F"/>
    <w:rsid w:val="00BD0B3C"/>
    <w:rsid w:val="00BD7B4D"/>
    <w:rsid w:val="00BF4D92"/>
    <w:rsid w:val="00BF4FD5"/>
    <w:rsid w:val="00BF55BA"/>
    <w:rsid w:val="00C0521C"/>
    <w:rsid w:val="00C27B54"/>
    <w:rsid w:val="00C41C93"/>
    <w:rsid w:val="00C50D28"/>
    <w:rsid w:val="00C6642D"/>
    <w:rsid w:val="00C83E16"/>
    <w:rsid w:val="00CA5F78"/>
    <w:rsid w:val="00D05D16"/>
    <w:rsid w:val="00D243E1"/>
    <w:rsid w:val="00D528C4"/>
    <w:rsid w:val="00DA4F22"/>
    <w:rsid w:val="00DA5291"/>
    <w:rsid w:val="00DB2480"/>
    <w:rsid w:val="00DC7C71"/>
    <w:rsid w:val="00DD3AFB"/>
    <w:rsid w:val="00E056AB"/>
    <w:rsid w:val="00E2226E"/>
    <w:rsid w:val="00E4068C"/>
    <w:rsid w:val="00E5587A"/>
    <w:rsid w:val="00E57C0D"/>
    <w:rsid w:val="00E76F23"/>
    <w:rsid w:val="00ED51CE"/>
    <w:rsid w:val="00F03DEF"/>
    <w:rsid w:val="00F04E53"/>
    <w:rsid w:val="00F42C6D"/>
    <w:rsid w:val="00F55327"/>
    <w:rsid w:val="00F83805"/>
    <w:rsid w:val="00F85F21"/>
    <w:rsid w:val="00FA3BC1"/>
    <w:rsid w:val="02AE3197"/>
    <w:rsid w:val="02FD5470"/>
    <w:rsid w:val="06F03B19"/>
    <w:rsid w:val="07786C61"/>
    <w:rsid w:val="0AEE2727"/>
    <w:rsid w:val="0B172EA2"/>
    <w:rsid w:val="0E470326"/>
    <w:rsid w:val="15123351"/>
    <w:rsid w:val="153B7A86"/>
    <w:rsid w:val="156F1BAF"/>
    <w:rsid w:val="172816E9"/>
    <w:rsid w:val="18951EC4"/>
    <w:rsid w:val="18E37CD7"/>
    <w:rsid w:val="1C403DC5"/>
    <w:rsid w:val="1E881BB8"/>
    <w:rsid w:val="1F0F7878"/>
    <w:rsid w:val="26364296"/>
    <w:rsid w:val="2BAB468A"/>
    <w:rsid w:val="2FDF2DB8"/>
    <w:rsid w:val="32D239F9"/>
    <w:rsid w:val="33AD2BD0"/>
    <w:rsid w:val="33C4701E"/>
    <w:rsid w:val="373835C6"/>
    <w:rsid w:val="3FD551A8"/>
    <w:rsid w:val="42372F26"/>
    <w:rsid w:val="436766A8"/>
    <w:rsid w:val="48DD1137"/>
    <w:rsid w:val="4C614C00"/>
    <w:rsid w:val="51FA5F54"/>
    <w:rsid w:val="5B264887"/>
    <w:rsid w:val="5C414A50"/>
    <w:rsid w:val="62A42FEA"/>
    <w:rsid w:val="65DA27DE"/>
    <w:rsid w:val="739500E1"/>
    <w:rsid w:val="73CB1AEB"/>
    <w:rsid w:val="74C26CF7"/>
    <w:rsid w:val="79533578"/>
    <w:rsid w:val="7ADE090F"/>
    <w:rsid w:val="7B98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日期 字符"/>
    <w:basedOn w:val="8"/>
    <w:link w:val="2"/>
    <w:qFormat/>
    <w:uiPriority w:val="99"/>
    <w:rPr>
      <w:rFonts w:ascii="Calibri" w:hAnsi="Calibri" w:eastAsia="宋体" w:cs="Arial"/>
    </w:rPr>
  </w:style>
  <w:style w:type="character" w:customStyle="1" w:styleId="10">
    <w:name w:val="页眉 字符"/>
    <w:basedOn w:val="8"/>
    <w:link w:val="5"/>
    <w:qFormat/>
    <w:uiPriority w:val="99"/>
    <w:rPr>
      <w:rFonts w:ascii="Calibri" w:hAnsi="Calibri" w:eastAsia="宋体" w:cs="Arial"/>
      <w:sz w:val="18"/>
      <w:szCs w:val="18"/>
    </w:rPr>
  </w:style>
  <w:style w:type="character" w:customStyle="1" w:styleId="11">
    <w:name w:val="页脚 字符"/>
    <w:basedOn w:val="8"/>
    <w:link w:val="4"/>
    <w:qFormat/>
    <w:uiPriority w:val="99"/>
    <w:rPr>
      <w:rFonts w:ascii="Calibri" w:hAnsi="Calibri" w:eastAsia="宋体" w:cs="Arial"/>
      <w:sz w:val="18"/>
      <w:szCs w:val="18"/>
    </w:rPr>
  </w:style>
  <w:style w:type="character" w:customStyle="1" w:styleId="12">
    <w:name w:val="批注框文本 字符"/>
    <w:basedOn w:val="8"/>
    <w:link w:val="3"/>
    <w:semiHidden/>
    <w:qFormat/>
    <w:uiPriority w:val="99"/>
    <w:rPr>
      <w:rFonts w:ascii="Calibri" w:hAnsi="Calibri" w:eastAsia="宋体" w:cs="Arial"/>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4</Pages>
  <Words>222</Words>
  <Characters>1270</Characters>
  <Lines>10</Lines>
  <Paragraphs>2</Paragraphs>
  <TotalTime>1</TotalTime>
  <ScaleCrop>false</ScaleCrop>
  <LinksUpToDate>false</LinksUpToDate>
  <CharactersWithSpaces>1490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2023-10-26T03:29:00Z</dcterms:created>
  <dc:creator>Maksim</dc:creator>
  <cp:lastModifiedBy>WPS_1516469058</cp:lastModifiedBy>
  <cp:lastPrinted>2023-03-28T08:25:00Z</cp:lastPrinted>
  <dcterms:modified xsi:type="dcterms:W3CDTF">2023-12-07T01:24:33Z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A25FBAD4694645BF9D19479835BBC228_13</vt:lpwstr>
  </property>
  <property fmtid="{D5CDD505-2E9C-101B-9397-08002B2CF9AE}" pid="3" name="KSOProductBuildVer">
    <vt:lpwstr>2052-12.1.0.15712</vt:lpwstr>
  </property>
</Properties>
</file>