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color w:val="000000" w:themeColor="text1"/>
        </w:rPr>
      </w:pPr>
      <w:bookmarkStart w:id="0" w:name="_Toc53923153"/>
      <w:bookmarkStart w:id="1" w:name="_Toc53922753"/>
    </w:p>
    <w:p>
      <w:pPr>
        <w:rPr>
          <w:rFonts w:ascii="Times New Roman" w:hAnsi="Times New Roman" w:cs="Times New Roman"/>
          <w:color w:val="000000" w:themeColor="text1"/>
        </w:rPr>
      </w:pPr>
    </w:p>
    <w:p>
      <w:pPr>
        <w:rPr>
          <w:rFonts w:ascii="Times New Roman" w:hAnsi="Times New Roman" w:cs="Times New Roman"/>
          <w:color w:val="000000" w:themeColor="text1"/>
        </w:rPr>
      </w:pPr>
    </w:p>
    <w:p>
      <w:pPr>
        <w:spacing w:line="900" w:lineRule="exact"/>
        <w:ind w:firstLine="0" w:firstLineChars="0"/>
        <w:jc w:val="center"/>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t>无锡市国民经济和社会发展</w:t>
      </w:r>
      <w:bookmarkEnd w:id="0"/>
      <w:bookmarkEnd w:id="1"/>
      <w:bookmarkStart w:id="2" w:name="_Toc53923154"/>
      <w:bookmarkStart w:id="3" w:name="_Toc53922754"/>
    </w:p>
    <w:p>
      <w:pPr>
        <w:spacing w:line="900" w:lineRule="exact"/>
        <w:ind w:firstLine="0" w:firstLineChars="0"/>
        <w:jc w:val="center"/>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t>第十四个五年规划和二〇三五年</w:t>
      </w:r>
    </w:p>
    <w:p>
      <w:pPr>
        <w:spacing w:line="900" w:lineRule="exact"/>
        <w:ind w:firstLine="0" w:firstLineChars="0"/>
        <w:jc w:val="center"/>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t>远景目标</w:t>
      </w:r>
      <w:bookmarkEnd w:id="2"/>
      <w:bookmarkEnd w:id="3"/>
      <w:r>
        <w:rPr>
          <w:rFonts w:ascii="Times New Roman" w:hAnsi="Times New Roman" w:eastAsia="方正小标宋_GBK" w:cs="Times New Roman"/>
          <w:color w:val="000000" w:themeColor="text1"/>
          <w:sz w:val="52"/>
          <w:szCs w:val="52"/>
        </w:rPr>
        <w:t>纲要</w:t>
      </w: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r>
        <w:rPr>
          <w:rFonts w:ascii="Times New Roman" w:hAnsi="Times New Roman" w:eastAsia="方正楷体_GBK" w:cs="Times New Roman"/>
          <w:color w:val="000000" w:themeColor="text1"/>
          <w:szCs w:val="32"/>
        </w:rPr>
        <w:t>（</w:t>
      </w:r>
      <w:r>
        <w:rPr>
          <w:rFonts w:hint="eastAsia" w:ascii="Times New Roman" w:hAnsi="Times New Roman" w:eastAsia="方正楷体_GBK" w:cs="Times New Roman"/>
          <w:color w:val="000000" w:themeColor="text1"/>
          <w:szCs w:val="32"/>
        </w:rPr>
        <w:t>2021年</w:t>
      </w:r>
      <w:r>
        <w:rPr>
          <w:rFonts w:ascii="Times New Roman" w:hAnsi="Times New Roman" w:eastAsia="方正楷体_GBK" w:cs="Times New Roman"/>
          <w:color w:val="000000" w:themeColor="text1"/>
          <w:szCs w:val="32"/>
        </w:rPr>
        <w:t>1</w:t>
      </w:r>
      <w:r>
        <w:rPr>
          <w:rFonts w:hint="eastAsia" w:ascii="Times New Roman" w:hAnsi="Times New Roman" w:eastAsia="方正楷体_GBK" w:cs="Times New Roman"/>
          <w:color w:val="000000" w:themeColor="text1"/>
          <w:szCs w:val="32"/>
        </w:rPr>
        <w:t>月22日市</w:t>
      </w:r>
      <w:r>
        <w:rPr>
          <w:rFonts w:ascii="Times New Roman" w:hAnsi="Times New Roman" w:eastAsia="方正楷体_GBK" w:cs="Times New Roman"/>
          <w:color w:val="000000" w:themeColor="text1"/>
          <w:szCs w:val="32"/>
        </w:rPr>
        <w:t>十</w:t>
      </w:r>
      <w:r>
        <w:rPr>
          <w:rFonts w:hint="eastAsia" w:ascii="Times New Roman" w:hAnsi="Times New Roman" w:eastAsia="方正楷体_GBK" w:cs="Times New Roman"/>
          <w:color w:val="000000" w:themeColor="text1"/>
          <w:szCs w:val="32"/>
        </w:rPr>
        <w:t>六</w:t>
      </w:r>
      <w:r>
        <w:rPr>
          <w:rFonts w:ascii="Times New Roman" w:hAnsi="Times New Roman" w:eastAsia="方正楷体_GBK" w:cs="Times New Roman"/>
          <w:color w:val="000000" w:themeColor="text1"/>
          <w:szCs w:val="32"/>
        </w:rPr>
        <w:t>届</w:t>
      </w:r>
      <w:r>
        <w:rPr>
          <w:rFonts w:hint="eastAsia" w:ascii="Times New Roman" w:hAnsi="Times New Roman" w:eastAsia="方正楷体_GBK" w:cs="Times New Roman"/>
          <w:color w:val="000000" w:themeColor="text1"/>
          <w:szCs w:val="32"/>
        </w:rPr>
        <w:t>人民</w:t>
      </w:r>
      <w:r>
        <w:rPr>
          <w:rFonts w:ascii="Times New Roman" w:hAnsi="Times New Roman" w:eastAsia="方正楷体_GBK" w:cs="Times New Roman"/>
          <w:color w:val="000000" w:themeColor="text1"/>
          <w:szCs w:val="32"/>
        </w:rPr>
        <w:t>代表大</w:t>
      </w:r>
      <w:r>
        <w:rPr>
          <w:rFonts w:hint="eastAsia" w:ascii="Times New Roman" w:hAnsi="Times New Roman" w:eastAsia="方正楷体_GBK" w:cs="Times New Roman"/>
          <w:color w:val="000000" w:themeColor="text1"/>
          <w:szCs w:val="32"/>
        </w:rPr>
        <w:t>会</w:t>
      </w:r>
    </w:p>
    <w:p>
      <w:pPr>
        <w:ind w:firstLine="0" w:firstLineChars="0"/>
        <w:jc w:val="center"/>
        <w:rPr>
          <w:rFonts w:ascii="Times New Roman" w:hAnsi="Times New Roman" w:eastAsia="方正楷体_GBK" w:cs="Times New Roman"/>
          <w:color w:val="000000" w:themeColor="text1"/>
          <w:szCs w:val="32"/>
        </w:rPr>
      </w:pPr>
      <w:r>
        <w:rPr>
          <w:rFonts w:ascii="Times New Roman" w:hAnsi="Times New Roman" w:eastAsia="方正楷体_GBK" w:cs="Times New Roman"/>
          <w:color w:val="000000" w:themeColor="text1"/>
          <w:szCs w:val="32"/>
        </w:rPr>
        <w:t>第五次</w:t>
      </w:r>
      <w:r>
        <w:rPr>
          <w:rFonts w:hint="eastAsia" w:ascii="Times New Roman" w:hAnsi="Times New Roman" w:eastAsia="方正楷体_GBK" w:cs="Times New Roman"/>
          <w:color w:val="000000" w:themeColor="text1"/>
          <w:szCs w:val="32"/>
        </w:rPr>
        <w:t>会</w:t>
      </w:r>
      <w:r>
        <w:rPr>
          <w:rFonts w:ascii="Times New Roman" w:hAnsi="Times New Roman" w:eastAsia="方正楷体_GBK" w:cs="Times New Roman"/>
          <w:color w:val="000000" w:themeColor="text1"/>
          <w:szCs w:val="32"/>
        </w:rPr>
        <w:t>议</w:t>
      </w:r>
      <w:r>
        <w:rPr>
          <w:rFonts w:hint="eastAsia" w:ascii="Times New Roman" w:hAnsi="Times New Roman" w:eastAsia="方正楷体_GBK" w:cs="Times New Roman"/>
          <w:color w:val="000000" w:themeColor="text1"/>
          <w:szCs w:val="32"/>
        </w:rPr>
        <w:t>批</w:t>
      </w:r>
      <w:r>
        <w:rPr>
          <w:rFonts w:ascii="Times New Roman" w:hAnsi="Times New Roman" w:eastAsia="方正楷体_GBK" w:cs="Times New Roman"/>
          <w:color w:val="000000" w:themeColor="text1"/>
          <w:szCs w:val="32"/>
        </w:rPr>
        <w:t>准）</w:t>
      </w: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ind w:firstLine="0" w:firstLineChars="0"/>
        <w:jc w:val="center"/>
        <w:rPr>
          <w:rFonts w:ascii="Times New Roman" w:hAnsi="Times New Roman" w:eastAsia="方正楷体_GBK" w:cs="Times New Roman"/>
          <w:color w:val="000000" w:themeColor="text1"/>
          <w:szCs w:val="32"/>
        </w:rPr>
      </w:pPr>
    </w:p>
    <w:p>
      <w:pPr>
        <w:widowControl/>
        <w:ind w:firstLine="0" w:firstLineChars="0"/>
        <w:jc w:val="left"/>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br w:type="page"/>
      </w:r>
    </w:p>
    <w:p>
      <w:pPr>
        <w:widowControl/>
        <w:ind w:firstLine="0" w:firstLineChars="0"/>
        <w:jc w:val="left"/>
        <w:rPr>
          <w:rFonts w:ascii="Times New Roman" w:hAnsi="Times New Roman" w:eastAsia="方正小标宋_GBK" w:cs="Times New Roman"/>
          <w:color w:val="000000" w:themeColor="text1"/>
          <w:sz w:val="52"/>
          <w:szCs w:val="52"/>
        </w:rPr>
      </w:pPr>
      <w:r>
        <w:rPr>
          <w:rFonts w:ascii="Times New Roman" w:hAnsi="Times New Roman" w:eastAsia="方正小标宋_GBK" w:cs="Times New Roman"/>
          <w:color w:val="000000" w:themeColor="text1"/>
          <w:sz w:val="52"/>
          <w:szCs w:val="52"/>
        </w:rPr>
        <w:br w:type="page"/>
      </w:r>
    </w:p>
    <w:p>
      <w:pPr>
        <w:rPr>
          <w:rFonts w:ascii="Times New Roman" w:hAnsi="Times New Roman" w:cs="Times New Roman"/>
          <w:color w:val="000000" w:themeColor="text1"/>
        </w:rPr>
      </w:pPr>
      <w:bookmarkStart w:id="4" w:name="_Toc61350589"/>
      <w:bookmarkStart w:id="5" w:name="_Toc55236618"/>
    </w:p>
    <w:p>
      <w:pPr>
        <w:ind w:firstLine="0" w:firstLineChars="0"/>
        <w:jc w:val="center"/>
        <w:rPr>
          <w:rFonts w:ascii="方正小标宋_GBK" w:hAnsi="Times New Roman" w:eastAsia="方正小标宋_GBK" w:cs="Times New Roman"/>
          <w:color w:val="000000" w:themeColor="text1"/>
          <w:sz w:val="36"/>
        </w:rPr>
      </w:pPr>
      <w:r>
        <w:rPr>
          <w:rFonts w:hint="eastAsia" w:ascii="方正小标宋_GBK" w:hAnsi="Times New Roman" w:eastAsia="方正小标宋_GBK" w:cs="Times New Roman"/>
          <w:color w:val="000000" w:themeColor="text1"/>
          <w:sz w:val="44"/>
        </w:rPr>
        <w:t xml:space="preserve">序 </w:t>
      </w:r>
      <w:r>
        <w:rPr>
          <w:rFonts w:ascii="方正小标宋_GBK" w:hAnsi="Times New Roman" w:eastAsia="方正小标宋_GBK" w:cs="Times New Roman"/>
          <w:color w:val="000000" w:themeColor="text1"/>
          <w:sz w:val="44"/>
        </w:rPr>
        <w:t xml:space="preserve">  </w:t>
      </w:r>
      <w:r>
        <w:rPr>
          <w:rFonts w:hint="eastAsia" w:ascii="方正小标宋_GBK" w:hAnsi="Times New Roman" w:eastAsia="方正小标宋_GBK" w:cs="Times New Roman"/>
          <w:color w:val="000000" w:themeColor="text1"/>
          <w:sz w:val="44"/>
        </w:rPr>
        <w:t xml:space="preserve"> 言</w:t>
      </w:r>
      <w:bookmarkEnd w:id="4"/>
      <w:bookmarkEnd w:id="5"/>
    </w:p>
    <w:p>
      <w:pPr>
        <w:rPr>
          <w:rFonts w:ascii="Times New Roman" w:hAnsi="Times New Roman" w:cs="Times New Roman"/>
          <w:color w:val="000000" w:themeColor="text1"/>
        </w:rPr>
      </w:pPr>
    </w:p>
    <w:p>
      <w:pPr>
        <w:rPr>
          <w:rFonts w:hAnsi="Times New Roman" w:cs="Times New Roman"/>
          <w:color w:val="000000" w:themeColor="text1"/>
        </w:rPr>
      </w:pPr>
      <w:r>
        <w:rPr>
          <w:rFonts w:hint="eastAsia" w:hAnsi="Times New Roman" w:cs="Times New Roman"/>
          <w:color w:val="000000" w:themeColor="text1"/>
        </w:rPr>
        <w:t>“十四五”时期（2021—2025年），是无锡深入贯彻落实党的十九大和十九届二中、三中、四中、五中全会精神，全面贯彻落实习近平新时代中国特色社会主义思想，特别是习近平总书记对江苏工作重要讲话指示精神，深入践行“争当表率、争做示范、走在前列”新使命新要求的重要时期，是全面开启新时代社会主义现代化先行示范区建设、奋力谱写“强富美高”新无锡建设新篇章的关键阶段。根据《中共无锡市委关于制定无锡市国民经济和社会发展第十四个五年规划和二〇三五年远景目标的建议》编制的《无锡市国民经济和社会发展第十四个五年规划和二〇三五年远景目标纲要》，主要阐明了无锡“十四五”时期发展的总体思路、战略目标、重点任务和政策取向，是政府履行职责的重要依据，是全市人民共同奋斗的行动纲领。</w:t>
      </w:r>
    </w:p>
    <w:p>
      <w:pPr>
        <w:widowControl/>
        <w:ind w:firstLine="0" w:firstLineChars="0"/>
        <w:jc w:val="left"/>
        <w:rPr>
          <w:rFonts w:ascii="Times New Roman" w:hAnsi="Times New Roman" w:cs="Times New Roman"/>
          <w:color w:val="000000" w:themeColor="text1"/>
        </w:rPr>
      </w:pPr>
      <w:r>
        <w:rPr>
          <w:rFonts w:ascii="Times New Roman" w:hAnsi="Times New Roman" w:cs="Times New Roman"/>
          <w:color w:val="000000" w:themeColor="text1"/>
        </w:rPr>
        <w:br w:type="page"/>
      </w:r>
    </w:p>
    <w:p>
      <w:pPr>
        <w:widowControl/>
        <w:ind w:firstLine="0" w:firstLineChars="0"/>
        <w:jc w:val="left"/>
        <w:rPr>
          <w:rFonts w:ascii="Times New Roman" w:hAnsi="Times New Roman" w:eastAsia="方正小标宋_GBK" w:cs="Times New Roman"/>
          <w:color w:val="000000" w:themeColor="text1"/>
          <w:sz w:val="52"/>
          <w:szCs w:val="52"/>
        </w:rPr>
      </w:pPr>
    </w:p>
    <w:p>
      <w:pPr>
        <w:widowControl/>
        <w:ind w:firstLine="0" w:firstLineChars="0"/>
        <w:jc w:val="left"/>
        <w:rPr>
          <w:rFonts w:ascii="Times New Roman" w:hAnsi="Times New Roman" w:eastAsia="方正小标宋_GBK" w:cs="Times New Roman"/>
          <w:color w:val="000000" w:themeColor="text1"/>
          <w:sz w:val="5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310" w:gutter="0"/>
          <w:pgNumType w:start="1"/>
          <w:cols w:space="425" w:num="1"/>
          <w:docGrid w:type="linesAndChars" w:linePitch="579" w:charSpace="-849"/>
        </w:sectPr>
      </w:pPr>
    </w:p>
    <w:sdt>
      <w:sdtPr>
        <w:rPr>
          <w:rFonts w:ascii="Times New Roman" w:hAnsi="Times New Roman" w:eastAsia="方正仿宋_GBK" w:cs="Times New Roman"/>
          <w:color w:val="000000" w:themeColor="text1"/>
          <w:kern w:val="2"/>
          <w:szCs w:val="21"/>
          <w:lang w:val="zh-CN"/>
        </w:rPr>
        <w:id w:val="1412896160"/>
        <w:docPartObj>
          <w:docPartGallery w:val="Table of Contents"/>
          <w:docPartUnique/>
        </w:docPartObj>
      </w:sdtPr>
      <w:sdtEndPr>
        <w:rPr>
          <w:rFonts w:ascii="Times New Roman" w:hAnsi="Times New Roman" w:eastAsia="方正仿宋_GBK" w:cs="Times New Roman"/>
          <w:b/>
          <w:bCs/>
          <w:color w:val="000000" w:themeColor="text1"/>
          <w:kern w:val="2"/>
          <w:szCs w:val="21"/>
          <w:lang w:val="zh-CN"/>
        </w:rPr>
      </w:sdtEndPr>
      <w:sdtContent>
        <w:p>
          <w:pPr>
            <w:pStyle w:val="40"/>
            <w:tabs>
              <w:tab w:val="left" w:pos="2977"/>
            </w:tabs>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lang w:val="zh-CN"/>
            </w:rPr>
            <w:t>目    录</w:t>
          </w:r>
        </w:p>
        <w:p>
          <w:pPr>
            <w:pStyle w:val="15"/>
            <w:rPr>
              <w:rFonts w:ascii="方正仿宋_GBK"/>
              <w:sz w:val="21"/>
            </w:rPr>
          </w:pPr>
          <w:r>
            <w:rPr>
              <w:rFonts w:hint="eastAsia" w:ascii="方正仿宋_GBK" w:hAnsi="Times New Roman" w:cs="Times New Roman"/>
              <w:color w:val="000000" w:themeColor="text1"/>
            </w:rPr>
            <w:fldChar w:fldCharType="begin"/>
          </w:r>
          <w:r>
            <w:rPr>
              <w:rFonts w:hint="eastAsia" w:ascii="方正仿宋_GBK" w:hAnsi="Times New Roman" w:cs="Times New Roman"/>
              <w:color w:val="000000" w:themeColor="text1"/>
            </w:rPr>
            <w:instrText xml:space="preserve"> TOC \o "1-3" \h \z \u </w:instrText>
          </w:r>
          <w:r>
            <w:rPr>
              <w:rFonts w:hint="eastAsia" w:ascii="方正仿宋_GBK" w:hAnsi="Times New Roman" w:cs="Times New Roman"/>
              <w:color w:val="000000" w:themeColor="text1"/>
            </w:rPr>
            <w:fldChar w:fldCharType="separate"/>
          </w:r>
          <w:r>
            <w:fldChar w:fldCharType="begin"/>
          </w:r>
          <w:r>
            <w:instrText xml:space="preserve"> HYPERLINK \l "_Toc66870163" </w:instrText>
          </w:r>
          <w:r>
            <w:fldChar w:fldCharType="separate"/>
          </w:r>
          <w:r>
            <w:rPr>
              <w:rStyle w:val="25"/>
              <w:rFonts w:hint="eastAsia" w:ascii="方正仿宋_GBK" w:hAnsi="Times New Roman" w:cs="Times New Roman"/>
              <w:bCs/>
              <w:kern w:val="44"/>
            </w:rPr>
            <w:t>第一篇  发展方位</w:t>
          </w:r>
          <w:r>
            <w:rPr>
              <w:rFonts w:hint="eastAsia" w:ascii="方正仿宋_GBK"/>
            </w:rPr>
            <w:tab/>
          </w:r>
          <w:r>
            <w:rPr>
              <w:rFonts w:hint="eastAsia" w:ascii="方正仿宋_GBK"/>
            </w:rPr>
            <w:fldChar w:fldCharType="begin"/>
          </w:r>
          <w:r>
            <w:rPr>
              <w:rFonts w:hint="eastAsia" w:ascii="方正仿宋_GBK"/>
            </w:rPr>
            <w:instrText xml:space="preserve"> PAGEREF _Toc66870163 \h </w:instrText>
          </w:r>
          <w:r>
            <w:rPr>
              <w:rFonts w:hint="eastAsia" w:ascii="方正仿宋_GBK"/>
            </w:rPr>
            <w:fldChar w:fldCharType="separate"/>
          </w:r>
          <w:r>
            <w:rPr>
              <w:rFonts w:ascii="方正仿宋_GBK"/>
            </w:rPr>
            <w:t>1</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"_Toc66870164" </w:instrText>
          </w:r>
          <w:r>
            <w:fldChar w:fldCharType="separate"/>
          </w:r>
          <w:r>
            <w:rPr>
              <w:rStyle w:val="25"/>
              <w:rFonts w:hint="eastAsia" w:ascii="方正仿宋_GBK" w:hAnsi="Times New Roman" w:cs="Times New Roman"/>
              <w:bCs/>
            </w:rPr>
            <w:t>第一章  发展基础</w:t>
          </w:r>
          <w:r>
            <w:rPr>
              <w:rFonts w:hint="eastAsia" w:ascii="方正仿宋_GBK"/>
            </w:rPr>
            <w:tab/>
          </w:r>
          <w:r>
            <w:rPr>
              <w:rFonts w:hint="eastAsia" w:ascii="方正仿宋_GBK"/>
            </w:rPr>
            <w:fldChar w:fldCharType="begin"/>
          </w:r>
          <w:r>
            <w:rPr>
              <w:rFonts w:hint="eastAsia" w:ascii="方正仿宋_GBK"/>
            </w:rPr>
            <w:instrText xml:space="preserve"> PAGEREF _Toc66870164 \h </w:instrText>
          </w:r>
          <w:r>
            <w:rPr>
              <w:rFonts w:hint="eastAsia" w:ascii="方正仿宋_GBK"/>
            </w:rPr>
            <w:fldChar w:fldCharType="separate"/>
          </w:r>
          <w:r>
            <w:rPr>
              <w:rFonts w:ascii="方正仿宋_GBK"/>
            </w:rPr>
            <w:t>1</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"_Toc66870165" </w:instrText>
          </w:r>
          <w:r>
            <w:fldChar w:fldCharType="separate"/>
          </w:r>
          <w:r>
            <w:rPr>
              <w:rStyle w:val="25"/>
              <w:rFonts w:hint="eastAsia" w:ascii="方正仿宋_GBK" w:hAnsi="Times New Roman" w:cs="Times New Roman"/>
              <w:bCs/>
            </w:rPr>
            <w:t>第二章  发展环境</w:t>
          </w:r>
          <w:r>
            <w:rPr>
              <w:rFonts w:hint="eastAsia" w:ascii="方正仿宋_GBK"/>
            </w:rPr>
            <w:tab/>
          </w:r>
          <w:r>
            <w:rPr>
              <w:rFonts w:hint="eastAsia" w:ascii="方正仿宋_GBK"/>
            </w:rPr>
            <w:fldChar w:fldCharType="begin"/>
          </w:r>
          <w:r>
            <w:rPr>
              <w:rFonts w:hint="eastAsia" w:ascii="方正仿宋_GBK"/>
            </w:rPr>
            <w:instrText xml:space="preserve"> PAGEREF _Toc66870165 \h </w:instrText>
          </w:r>
          <w:r>
            <w:rPr>
              <w:rFonts w:hint="eastAsia" w:ascii="方正仿宋_GBK"/>
            </w:rPr>
            <w:fldChar w:fldCharType="separate"/>
          </w:r>
          <w:r>
            <w:rPr>
              <w:rFonts w:ascii="方正仿宋_GBK"/>
            </w:rPr>
            <w:t>9</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"_Toc66870166" </w:instrText>
          </w:r>
          <w:r>
            <w:fldChar w:fldCharType="separate"/>
          </w:r>
          <w:r>
            <w:rPr>
              <w:rStyle w:val="25"/>
              <w:rFonts w:hint="eastAsia" w:ascii="方正仿宋_GBK" w:hAnsi="Times New Roman" w:cs="Times New Roman"/>
              <w:bCs/>
            </w:rPr>
            <w:t>第三章  总体要求</w:t>
          </w:r>
          <w:r>
            <w:rPr>
              <w:rFonts w:hint="eastAsia" w:ascii="方正仿宋_GBK"/>
            </w:rPr>
            <w:tab/>
          </w:r>
          <w:r>
            <w:rPr>
              <w:rFonts w:hint="eastAsia" w:ascii="方正仿宋_GBK"/>
            </w:rPr>
            <w:fldChar w:fldCharType="begin"/>
          </w:r>
          <w:r>
            <w:rPr>
              <w:rFonts w:hint="eastAsia" w:ascii="方正仿宋_GBK"/>
            </w:rPr>
            <w:instrText xml:space="preserve"> PAGEREF _Toc66870166 \h </w:instrText>
          </w:r>
          <w:r>
            <w:rPr>
              <w:rFonts w:hint="eastAsia" w:ascii="方正仿宋_GBK"/>
            </w:rPr>
            <w:fldChar w:fldCharType="separate"/>
          </w:r>
          <w:r>
            <w:rPr>
              <w:rFonts w:ascii="方正仿宋_GBK"/>
            </w:rPr>
            <w:t>11</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"_Toc66870167" </w:instrText>
          </w:r>
          <w:r>
            <w:fldChar w:fldCharType="separate"/>
          </w:r>
          <w:r>
            <w:rPr>
              <w:rStyle w:val="25"/>
              <w:rFonts w:hint="eastAsia" w:ascii="方正仿宋_GBK" w:eastAsia="方正仿宋_GBK"/>
            </w:rPr>
            <w:t>第一节  指导思想</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_Toc66870167 \h </w:instrText>
          </w:r>
          <w:r>
            <w:rPr>
              <w:rFonts w:hint="eastAsia" w:ascii="方正仿宋_GBK" w:eastAsia="方正仿宋_GBK"/>
            </w:rPr>
            <w:fldChar w:fldCharType="separate"/>
          </w:r>
          <w:r>
            <w:rPr>
              <w:rFonts w:ascii="方正仿宋_GBK" w:eastAsia="方正仿宋_GBK"/>
            </w:rPr>
            <w:t>11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"_Toc66870168" </w:instrText>
          </w:r>
          <w:r>
            <w:fldChar w:fldCharType="separate"/>
          </w:r>
          <w:r>
            <w:rPr>
              <w:rStyle w:val="25"/>
              <w:rFonts w:hint="eastAsia" w:ascii="方正仿宋_GBK" w:eastAsia="方正仿宋_GBK"/>
            </w:rPr>
            <w:t>第二节  基本要求</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_Toc66870168 \h </w:instrText>
          </w:r>
          <w:r>
            <w:rPr>
              <w:rFonts w:hint="eastAsia" w:ascii="方正仿宋_GBK" w:eastAsia="方正仿宋_GBK"/>
            </w:rPr>
            <w:fldChar w:fldCharType="separate"/>
          </w:r>
          <w:r>
            <w:rPr>
              <w:rFonts w:ascii="方正仿宋_GBK" w:eastAsia="方正仿宋_GBK"/>
            </w:rPr>
            <w:t>11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"_Toc66870169" </w:instrText>
          </w:r>
          <w:r>
            <w:fldChar w:fldCharType="separate"/>
          </w:r>
          <w:r>
            <w:rPr>
              <w:rStyle w:val="25"/>
              <w:rFonts w:hint="eastAsia" w:ascii="方正仿宋_GBK" w:eastAsia="方正仿宋_GBK"/>
            </w:rPr>
            <w:t>第三节  发展战略</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_Toc66870169 \h </w:instrText>
          </w:r>
          <w:r>
            <w:rPr>
              <w:rFonts w:hint="eastAsia" w:ascii="方正仿宋_GBK" w:eastAsia="方正仿宋_GBK"/>
            </w:rPr>
            <w:fldChar w:fldCharType="separate"/>
          </w:r>
          <w:r>
            <w:rPr>
              <w:rFonts w:ascii="方正仿宋_GBK" w:eastAsia="方正仿宋_GBK"/>
            </w:rPr>
            <w:t>13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"_Toc66870170" </w:instrText>
          </w:r>
          <w:r>
            <w:fldChar w:fldCharType="separate"/>
          </w:r>
          <w:r>
            <w:rPr>
              <w:rStyle w:val="25"/>
              <w:rFonts w:hint="eastAsia" w:ascii="方正仿宋_GBK" w:eastAsia="方正仿宋_GBK"/>
            </w:rPr>
            <w:t>第四节  二〇三五年远景目标</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_Toc66870170 \h </w:instrText>
          </w:r>
          <w:r>
            <w:rPr>
              <w:rFonts w:hint="eastAsia" w:ascii="方正仿宋_GBK" w:eastAsia="方正仿宋_GBK"/>
            </w:rPr>
            <w:fldChar w:fldCharType="separate"/>
          </w:r>
          <w:r>
            <w:rPr>
              <w:rFonts w:ascii="方正仿宋_GBK" w:eastAsia="方正仿宋_GBK"/>
            </w:rPr>
            <w:t>14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"_Toc66870171" </w:instrText>
          </w:r>
          <w:r>
            <w:fldChar w:fldCharType="separate"/>
          </w:r>
          <w:r>
            <w:rPr>
              <w:rStyle w:val="25"/>
              <w:rFonts w:hint="eastAsia" w:ascii="方正仿宋_GBK" w:eastAsia="方正仿宋_GBK"/>
            </w:rPr>
            <w:t>第五节  “十四五”时期主要目标</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_Toc66870171 \h </w:instrText>
          </w:r>
          <w:r>
            <w:rPr>
              <w:rFonts w:hint="eastAsia" w:ascii="方正仿宋_GBK" w:eastAsia="方正仿宋_GBK"/>
            </w:rPr>
            <w:fldChar w:fldCharType="separate"/>
          </w:r>
          <w:r>
            <w:rPr>
              <w:rFonts w:ascii="方正仿宋_GBK" w:eastAsia="方正仿宋_GBK"/>
            </w:rPr>
            <w:t>15</w:t>
          </w:r>
          <w:r>
            <w:rPr>
              <w:rFonts w:hint="eastAsia" w:ascii="方正仿宋_GBK" w:eastAsia="方正仿宋_GBK"/>
            </w:rPr>
            <w:fldChar w:fldCharType="end"/>
          </w:r>
          <w:r>
            <w:rPr>
              <w:rFonts w:hint="eastAsia" w:ascii="方正仿宋_GBK" w:eastAsia="方正仿宋_GBK"/>
            </w:rPr>
            <w:fldChar w:fldCharType="end"/>
          </w:r>
        </w:p>
        <w:p>
          <w:pPr>
            <w:pStyle w:val="15"/>
            <w:rPr>
              <w:rFonts w:ascii="方正仿宋_GBK"/>
              <w:sz w:val="21"/>
            </w:rPr>
          </w:pPr>
          <w:r>
            <w:fldChar w:fldCharType="begin"/>
          </w:r>
          <w:r>
            <w:instrText xml:space="preserve"> HYPERLINK \l "_Toc66870172" </w:instrText>
          </w:r>
          <w:r>
            <w:fldChar w:fldCharType="separate"/>
          </w:r>
          <w:r>
            <w:rPr>
              <w:rStyle w:val="25"/>
              <w:rFonts w:hint="eastAsia" w:ascii="方正仿宋_GBK" w:hAnsi="Times New Roman" w:cs="Times New Roman"/>
              <w:bCs/>
              <w:kern w:val="44"/>
            </w:rPr>
            <w:t>第二篇  重点任务</w:t>
          </w:r>
          <w:r>
            <w:rPr>
              <w:rFonts w:hint="eastAsia" w:ascii="方正仿宋_GBK"/>
            </w:rPr>
            <w:tab/>
          </w:r>
          <w:r>
            <w:rPr>
              <w:rFonts w:hint="eastAsia" w:ascii="方正仿宋_GBK"/>
            </w:rPr>
            <w:fldChar w:fldCharType="begin"/>
          </w:r>
          <w:r>
            <w:rPr>
              <w:rFonts w:hint="eastAsia" w:ascii="方正仿宋_GBK"/>
            </w:rPr>
            <w:instrText xml:space="preserve"> PAGEREF _Toc66870172 \h </w:instrText>
          </w:r>
          <w:r>
            <w:rPr>
              <w:rFonts w:hint="eastAsia" w:ascii="方正仿宋_GBK"/>
            </w:rPr>
            <w:fldChar w:fldCharType="separate"/>
          </w:r>
          <w:r>
            <w:rPr>
              <w:rFonts w:ascii="方正仿宋_GBK"/>
            </w:rPr>
            <w:t>21</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"_Toc66870173" </w:instrText>
          </w:r>
          <w:r>
            <w:fldChar w:fldCharType="separate"/>
          </w:r>
          <w:r>
            <w:rPr>
              <w:rStyle w:val="25"/>
              <w:rFonts w:hint="eastAsia" w:ascii="方正仿宋_GBK" w:hAnsi="Times New Roman" w:cs="Times New Roman"/>
              <w:bCs/>
            </w:rPr>
            <w:t>第四章  构建产业科技创新体系</w:t>
          </w:r>
          <w:r>
            <w:rPr>
              <w:rFonts w:hint="eastAsia" w:ascii="方正仿宋_GBK"/>
            </w:rPr>
            <w:tab/>
          </w:r>
          <w:r>
            <w:rPr>
              <w:rFonts w:hint="eastAsia" w:ascii="方正仿宋_GBK"/>
            </w:rPr>
            <w:fldChar w:fldCharType="begin"/>
          </w:r>
          <w:r>
            <w:rPr>
              <w:rFonts w:hint="eastAsia" w:ascii="方正仿宋_GBK"/>
            </w:rPr>
            <w:instrText xml:space="preserve"> PAGEREF _Toc66870173 \h </w:instrText>
          </w:r>
          <w:r>
            <w:rPr>
              <w:rFonts w:hint="eastAsia" w:ascii="方正仿宋_GBK"/>
            </w:rPr>
            <w:fldChar w:fldCharType="separate"/>
          </w:r>
          <w:r>
            <w:rPr>
              <w:rFonts w:ascii="方正仿宋_GBK"/>
            </w:rPr>
            <w:t>21</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"_Toc66870174" </w:instrText>
          </w:r>
          <w:r>
            <w:fldChar w:fldCharType="separate"/>
          </w:r>
          <w:r>
            <w:rPr>
              <w:rStyle w:val="25"/>
              <w:rFonts w:hint="eastAsia" w:ascii="方正仿宋_GBK" w:eastAsia="方正仿宋_GBK"/>
            </w:rPr>
            <w:t>第一节  建设太湖湾科技创新带</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_Toc66870174 \h </w:instrText>
          </w:r>
          <w:r>
            <w:rPr>
              <w:rFonts w:hint="eastAsia" w:ascii="方正仿宋_GBK" w:eastAsia="方正仿宋_GBK"/>
            </w:rPr>
            <w:fldChar w:fldCharType="separate"/>
          </w:r>
          <w:r>
            <w:rPr>
              <w:rFonts w:ascii="方正仿宋_GBK" w:eastAsia="方正仿宋_GBK"/>
            </w:rPr>
            <w:t>21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"_Toc66870175" </w:instrText>
          </w:r>
          <w:r>
            <w:fldChar w:fldCharType="separate"/>
          </w:r>
          <w:r>
            <w:rPr>
              <w:rStyle w:val="25"/>
              <w:rFonts w:hint="eastAsia" w:ascii="方正仿宋_GBK" w:eastAsia="方正仿宋_GBK"/>
            </w:rPr>
            <w:t>第二节  打造创新载体平台</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_Toc66870175 \h </w:instrText>
          </w:r>
          <w:r>
            <w:rPr>
              <w:rFonts w:hint="eastAsia" w:ascii="方正仿宋_GBK" w:eastAsia="方正仿宋_GBK"/>
            </w:rPr>
            <w:fldChar w:fldCharType="separate"/>
          </w:r>
          <w:r>
            <w:rPr>
              <w:rFonts w:ascii="方正仿宋_GBK" w:eastAsia="方正仿宋_GBK"/>
            </w:rPr>
            <w:t>24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"_Toc66870176" </w:instrText>
          </w:r>
          <w:r>
            <w:fldChar w:fldCharType="separate"/>
          </w:r>
          <w:r>
            <w:rPr>
              <w:rStyle w:val="25"/>
              <w:rFonts w:hint="eastAsia" w:ascii="方正仿宋_GBK" w:eastAsia="方正仿宋_GBK"/>
            </w:rPr>
            <w:t>第三节  加强核心技术突破</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_Toc66870176 \h </w:instrText>
          </w:r>
          <w:r>
            <w:rPr>
              <w:rFonts w:hint="eastAsia" w:ascii="方正仿宋_GBK" w:eastAsia="方正仿宋_GBK"/>
            </w:rPr>
            <w:fldChar w:fldCharType="separate"/>
          </w:r>
          <w:r>
            <w:rPr>
              <w:rFonts w:ascii="方正仿宋_GBK" w:eastAsia="方正仿宋_GBK"/>
            </w:rPr>
            <w:t>26</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"_Toc66870177" </w:instrText>
          </w:r>
          <w:r>
            <w:fldChar w:fldCharType="separate"/>
          </w:r>
          <w:r>
            <w:rPr>
              <w:rStyle w:val="25"/>
              <w:rFonts w:hint="eastAsia" w:ascii="方正仿宋_GBK" w:eastAsia="方正仿宋_GBK"/>
            </w:rPr>
            <w:t>第四节  营造优良创新生态环境</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_Toc66870177 \h </w:instrText>
          </w:r>
          <w:r>
            <w:rPr>
              <w:rFonts w:hint="eastAsia" w:ascii="方正仿宋_GBK" w:eastAsia="方正仿宋_GBK"/>
            </w:rPr>
            <w:fldChar w:fldCharType="separate"/>
          </w:r>
          <w:r>
            <w:rPr>
              <w:rFonts w:ascii="方正仿宋_GBK" w:eastAsia="方正仿宋_GBK"/>
            </w:rPr>
            <w:t>28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"_Toc66870178" </w:instrText>
          </w:r>
          <w:r>
            <w:fldChar w:fldCharType="separate"/>
          </w:r>
          <w:r>
            <w:rPr>
              <w:rStyle w:val="25"/>
              <w:rFonts w:hint="eastAsia" w:ascii="方正仿宋_GBK" w:eastAsia="方正仿宋_GBK"/>
            </w:rPr>
            <w:t>第五节  激发高水平人才活力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_Toc66870178 \h </w:instrText>
          </w:r>
          <w:r>
            <w:rPr>
              <w:rFonts w:hint="eastAsia" w:ascii="方正仿宋_GBK" w:eastAsia="方正仿宋_GBK"/>
            </w:rPr>
            <w:fldChar w:fldCharType="separate"/>
          </w:r>
          <w:r>
            <w:rPr>
              <w:rFonts w:ascii="方正仿宋_GBK" w:eastAsia="方正仿宋_GBK"/>
            </w:rPr>
            <w:t>31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"_Toc66870179" </w:instrText>
          </w:r>
          <w:r>
            <w:fldChar w:fldCharType="separate"/>
          </w:r>
          <w:r>
            <w:rPr>
              <w:rStyle w:val="25"/>
              <w:rFonts w:hint="eastAsia" w:ascii="方正仿宋_GBK" w:hAnsi="Times New Roman" w:cs="Times New Roman"/>
              <w:bCs/>
            </w:rPr>
            <w:t>第五章  打造现代产业发展新高地</w:t>
          </w:r>
          <w:r>
            <w:rPr>
              <w:rFonts w:hint="eastAsia" w:ascii="方正仿宋_GBK"/>
            </w:rPr>
            <w:tab/>
          </w:r>
          <w:r>
            <w:rPr>
              <w:rFonts w:hint="eastAsia" w:ascii="方正仿宋_GBK"/>
            </w:rPr>
            <w:fldChar w:fldCharType="begin"/>
          </w:r>
          <w:r>
            <w:rPr>
              <w:rFonts w:hint="eastAsia" w:ascii="方正仿宋_GBK"/>
            </w:rPr>
            <w:instrText xml:space="preserve"> PAGEREF _Toc66870179 \h </w:instrText>
          </w:r>
          <w:r>
            <w:rPr>
              <w:rFonts w:hint="eastAsia" w:ascii="方正仿宋_GBK"/>
            </w:rPr>
            <w:fldChar w:fldCharType="separate"/>
          </w:r>
          <w:r>
            <w:rPr>
              <w:rFonts w:ascii="方正仿宋_GBK"/>
            </w:rPr>
            <w:t>34</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"_Toc66870180" </w:instrText>
          </w:r>
          <w:r>
            <w:fldChar w:fldCharType="separate"/>
          </w:r>
          <w:r>
            <w:rPr>
              <w:rStyle w:val="25"/>
              <w:rFonts w:hint="eastAsia" w:ascii="方正仿宋_GBK" w:eastAsia="方正仿宋_GBK"/>
            </w:rPr>
            <w:t>第一节  深化“四沿”产业布局</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_Toc66870180 \h </w:instrText>
          </w:r>
          <w:r>
            <w:rPr>
              <w:rFonts w:hint="eastAsia" w:ascii="方正仿宋_GBK" w:eastAsia="方正仿宋_GBK"/>
            </w:rPr>
            <w:fldChar w:fldCharType="separate"/>
          </w:r>
          <w:r>
            <w:rPr>
              <w:rFonts w:ascii="方正仿宋_GBK" w:eastAsia="方正仿宋_GBK"/>
            </w:rPr>
            <w:t>34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"_Toc66870181" </w:instrText>
          </w:r>
          <w:r>
            <w:fldChar w:fldCharType="separate"/>
          </w:r>
          <w:r>
            <w:rPr>
              <w:rStyle w:val="25"/>
              <w:rFonts w:hint="eastAsia" w:ascii="方正仿宋_GBK" w:eastAsia="方正仿宋_GBK"/>
            </w:rPr>
            <w:t>第二节  推进产业基础高级化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_Toc66870181 \h </w:instrText>
          </w:r>
          <w:r>
            <w:rPr>
              <w:rFonts w:hint="eastAsia" w:ascii="方正仿宋_GBK" w:eastAsia="方正仿宋_GBK"/>
            </w:rPr>
            <w:fldChar w:fldCharType="separate"/>
          </w:r>
          <w:r>
            <w:rPr>
              <w:rFonts w:ascii="方正仿宋_GBK" w:eastAsia="方正仿宋_GBK"/>
            </w:rPr>
            <w:t>35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"_Toc66870182" </w:instrText>
          </w:r>
          <w:r>
            <w:fldChar w:fldCharType="separate"/>
          </w:r>
          <w:r>
            <w:rPr>
              <w:rStyle w:val="25"/>
              <w:rFonts w:hint="eastAsia" w:ascii="方正仿宋_GBK" w:eastAsia="方正仿宋_GBK"/>
            </w:rPr>
            <w:t>第三节  提高产业链现代化水平</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_Toc66870182 \h </w:instrText>
          </w:r>
          <w:r>
            <w:rPr>
              <w:rFonts w:hint="eastAsia" w:ascii="方正仿宋_GBK" w:eastAsia="方正仿宋_GBK"/>
            </w:rPr>
            <w:fldChar w:fldCharType="separate"/>
          </w:r>
          <w:r>
            <w:rPr>
              <w:rFonts w:ascii="方正仿宋_GBK" w:eastAsia="方正仿宋_GBK"/>
            </w:rPr>
            <w:t>37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"_Toc66870183" </w:instrText>
          </w:r>
          <w:r>
            <w:fldChar w:fldCharType="separate"/>
          </w:r>
          <w:r>
            <w:rPr>
              <w:rStyle w:val="25"/>
              <w:rFonts w:hint="eastAsia" w:ascii="方正仿宋_GBK" w:eastAsia="方正仿宋_GBK"/>
            </w:rPr>
            <w:t>第四节  加快发展战略性新兴产业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_Toc66870183 \h </w:instrText>
          </w:r>
          <w:r>
            <w:rPr>
              <w:rFonts w:hint="eastAsia" w:ascii="方正仿宋_GBK" w:eastAsia="方正仿宋_GBK"/>
            </w:rPr>
            <w:fldChar w:fldCharType="separate"/>
          </w:r>
          <w:r>
            <w:rPr>
              <w:rFonts w:ascii="方正仿宋_GBK" w:eastAsia="方正仿宋_GBK"/>
            </w:rPr>
            <w:t>39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"_Toc66870184" </w:instrText>
          </w:r>
          <w:r>
            <w:fldChar w:fldCharType="separate"/>
          </w:r>
          <w:r>
            <w:rPr>
              <w:rStyle w:val="25"/>
              <w:rFonts w:hint="eastAsia" w:ascii="方正仿宋_GBK" w:eastAsia="方正仿宋_GBK"/>
            </w:rPr>
            <w:t>第五节  提升发展现代服务业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_Toc66870184 \h </w:instrText>
          </w:r>
          <w:r>
            <w:rPr>
              <w:rFonts w:hint="eastAsia" w:ascii="方正仿宋_GBK" w:eastAsia="方正仿宋_GBK"/>
            </w:rPr>
            <w:fldChar w:fldCharType="separate"/>
          </w:r>
          <w:r>
            <w:rPr>
              <w:rFonts w:ascii="方正仿宋_GBK" w:eastAsia="方正仿宋_GBK"/>
            </w:rPr>
            <w:t>41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"_Toc66870185" </w:instrText>
          </w:r>
          <w:r>
            <w:fldChar w:fldCharType="separate"/>
          </w:r>
          <w:r>
            <w:rPr>
              <w:rStyle w:val="25"/>
              <w:rFonts w:hint="eastAsia" w:ascii="方正仿宋_GBK" w:eastAsia="方正仿宋_GBK"/>
            </w:rPr>
            <w:t>第六节  大力发展数字经济</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_Toc66870185 \h </w:instrText>
          </w:r>
          <w:r>
            <w:rPr>
              <w:rFonts w:hint="eastAsia" w:ascii="方正仿宋_GBK" w:eastAsia="方正仿宋_GBK"/>
            </w:rPr>
            <w:fldChar w:fldCharType="separate"/>
          </w:r>
          <w:r>
            <w:rPr>
              <w:rFonts w:ascii="方正仿宋_GBK" w:eastAsia="方正仿宋_GBK"/>
            </w:rPr>
            <w:t>44</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"_Toc66870186" </w:instrText>
          </w:r>
          <w:r>
            <w:fldChar w:fldCharType="separate"/>
          </w:r>
          <w:r>
            <w:rPr>
              <w:rStyle w:val="25"/>
              <w:rFonts w:hint="eastAsia" w:ascii="方正仿宋_GBK" w:hAnsi="Times New Roman" w:cs="Times New Roman"/>
              <w:bCs/>
            </w:rPr>
            <w:t>第六章  加快融入新发展格局</w:t>
          </w:r>
          <w:r>
            <w:rPr>
              <w:rFonts w:hint="eastAsia" w:ascii="方正仿宋_GBK"/>
            </w:rPr>
            <w:tab/>
          </w:r>
          <w:r>
            <w:rPr>
              <w:rFonts w:hint="eastAsia" w:ascii="方正仿宋_GBK"/>
            </w:rPr>
            <w:fldChar w:fldCharType="begin"/>
          </w:r>
          <w:r>
            <w:rPr>
              <w:rFonts w:hint="eastAsia" w:ascii="方正仿宋_GBK"/>
            </w:rPr>
            <w:instrText xml:space="preserve"> PAGEREF _Toc66870186 \h </w:instrText>
          </w:r>
          <w:r>
            <w:rPr>
              <w:rFonts w:hint="eastAsia" w:ascii="方正仿宋_GBK"/>
            </w:rPr>
            <w:fldChar w:fldCharType="separate"/>
          </w:r>
          <w:r>
            <w:rPr>
              <w:rFonts w:ascii="方正仿宋_GBK"/>
            </w:rPr>
            <w:t>47</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"_Toc66870187" </w:instrText>
          </w:r>
          <w:r>
            <w:fldChar w:fldCharType="separate"/>
          </w:r>
          <w:r>
            <w:rPr>
              <w:rStyle w:val="25"/>
              <w:rFonts w:hint="eastAsia" w:ascii="方正仿宋_GBK" w:eastAsia="方正仿宋_GBK"/>
            </w:rPr>
            <w:t>第一节  释放消费潜能</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_Toc66870187 \h </w:instrText>
          </w:r>
          <w:r>
            <w:rPr>
              <w:rFonts w:hint="eastAsia" w:ascii="方正仿宋_GBK" w:eastAsia="方正仿宋_GBK"/>
            </w:rPr>
            <w:fldChar w:fldCharType="separate"/>
          </w:r>
          <w:r>
            <w:rPr>
              <w:rFonts w:ascii="方正仿宋_GBK" w:eastAsia="方正仿宋_GBK"/>
            </w:rPr>
            <w:t>47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"_Toc66870188" </w:instrText>
          </w:r>
          <w:r>
            <w:fldChar w:fldCharType="separate"/>
          </w:r>
          <w:r>
            <w:rPr>
              <w:rStyle w:val="25"/>
              <w:rFonts w:hint="eastAsia" w:ascii="方正仿宋_GBK" w:eastAsia="方正仿宋_GBK"/>
            </w:rPr>
            <w:t>第二节  拓展投资空间</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_Toc66870188 \h </w:instrText>
          </w:r>
          <w:r>
            <w:rPr>
              <w:rFonts w:hint="eastAsia" w:ascii="方正仿宋_GBK" w:eastAsia="方正仿宋_GBK"/>
            </w:rPr>
            <w:fldChar w:fldCharType="separate"/>
          </w:r>
          <w:r>
            <w:rPr>
              <w:rFonts w:ascii="方正仿宋_GBK" w:eastAsia="方正仿宋_GBK"/>
            </w:rPr>
            <w:t>48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"_Toc66870189" </w:instrText>
          </w:r>
          <w:r>
            <w:fldChar w:fldCharType="separate"/>
          </w:r>
          <w:r>
            <w:rPr>
              <w:rStyle w:val="25"/>
              <w:rFonts w:hint="eastAsia" w:ascii="方正仿宋_GBK" w:eastAsia="方正仿宋_GBK"/>
            </w:rPr>
            <w:t>第三节  完善现代流通体系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_Toc66870189 \h </w:instrText>
          </w:r>
          <w:r>
            <w:rPr>
              <w:rFonts w:hint="eastAsia" w:ascii="方正仿宋_GBK" w:eastAsia="方正仿宋_GBK"/>
            </w:rPr>
            <w:fldChar w:fldCharType="separate"/>
          </w:r>
          <w:r>
            <w:rPr>
              <w:rFonts w:ascii="方正仿宋_GBK" w:eastAsia="方正仿宋_GBK"/>
            </w:rPr>
            <w:t>50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"_Toc66870190" </w:instrText>
          </w:r>
          <w:r>
            <w:fldChar w:fldCharType="separate"/>
          </w:r>
          <w:r>
            <w:rPr>
              <w:rStyle w:val="25"/>
              <w:rFonts w:hint="eastAsia" w:ascii="方正仿宋_GBK" w:eastAsia="方正仿宋_GBK"/>
            </w:rPr>
            <w:t>第四节  促进经济循环</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_Toc66870190 \h </w:instrText>
          </w:r>
          <w:r>
            <w:rPr>
              <w:rFonts w:hint="eastAsia" w:ascii="方正仿宋_GBK" w:eastAsia="方正仿宋_GBK"/>
            </w:rPr>
            <w:fldChar w:fldCharType="separate"/>
          </w:r>
          <w:r>
            <w:rPr>
              <w:rFonts w:ascii="方正仿宋_GBK" w:eastAsia="方正仿宋_GBK"/>
            </w:rPr>
            <w:t>51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"_Toc66870191" </w:instrText>
          </w:r>
          <w:r>
            <w:fldChar w:fldCharType="separate"/>
          </w:r>
          <w:r>
            <w:rPr>
              <w:rStyle w:val="25"/>
              <w:rFonts w:hint="eastAsia" w:ascii="方正仿宋_GBK" w:hAnsi="Times New Roman" w:cs="Times New Roman"/>
              <w:bCs/>
            </w:rPr>
            <w:t>第七章  加快区域协同发展</w:t>
          </w:r>
          <w:r>
            <w:rPr>
              <w:rFonts w:hint="eastAsia" w:ascii="方正仿宋_GBK"/>
            </w:rPr>
            <w:tab/>
          </w:r>
          <w:r>
            <w:rPr>
              <w:rFonts w:hint="eastAsia" w:ascii="方正仿宋_GBK"/>
            </w:rPr>
            <w:fldChar w:fldCharType="begin"/>
          </w:r>
          <w:r>
            <w:rPr>
              <w:rFonts w:hint="eastAsia" w:ascii="方正仿宋_GBK"/>
            </w:rPr>
            <w:instrText xml:space="preserve"> PAGEREF _Toc66870191 \h </w:instrText>
          </w:r>
          <w:r>
            <w:rPr>
              <w:rFonts w:hint="eastAsia" w:ascii="方正仿宋_GBK"/>
            </w:rPr>
            <w:fldChar w:fldCharType="separate"/>
          </w:r>
          <w:r>
            <w:rPr>
              <w:rFonts w:ascii="方正仿宋_GBK"/>
            </w:rPr>
            <w:t>55</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"_Toc66870192" </w:instrText>
          </w:r>
          <w:r>
            <w:fldChar w:fldCharType="separate"/>
          </w:r>
          <w:r>
            <w:rPr>
              <w:rStyle w:val="25"/>
              <w:rFonts w:hint="eastAsia" w:ascii="方正仿宋_GBK" w:eastAsia="方正仿宋_GBK"/>
            </w:rPr>
            <w:t>第一节  融入长三角一体化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_Toc66870192 \h </w:instrText>
          </w:r>
          <w:r>
            <w:rPr>
              <w:rFonts w:hint="eastAsia" w:ascii="方正仿宋_GBK" w:eastAsia="方正仿宋_GBK"/>
            </w:rPr>
            <w:fldChar w:fldCharType="separate"/>
          </w:r>
          <w:r>
            <w:rPr>
              <w:rFonts w:ascii="方正仿宋_GBK" w:eastAsia="方正仿宋_GBK"/>
            </w:rPr>
            <w:t>55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"_Toc66870193" </w:instrText>
          </w:r>
          <w:r>
            <w:fldChar w:fldCharType="separate"/>
          </w:r>
          <w:r>
            <w:rPr>
              <w:rStyle w:val="25"/>
              <w:rFonts w:hint="eastAsia" w:ascii="方正仿宋_GBK" w:eastAsia="方正仿宋_GBK"/>
            </w:rPr>
            <w:t>第二节  推进锡澄锡宜一体化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_Toc66870193 \h </w:instrText>
          </w:r>
          <w:r>
            <w:rPr>
              <w:rFonts w:hint="eastAsia" w:ascii="方正仿宋_GBK" w:eastAsia="方正仿宋_GBK"/>
            </w:rPr>
            <w:fldChar w:fldCharType="separate"/>
          </w:r>
          <w:r>
            <w:rPr>
              <w:rFonts w:ascii="方正仿宋_GBK" w:eastAsia="方正仿宋_GBK"/>
            </w:rPr>
            <w:t>58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"_Toc66870194" </w:instrText>
          </w:r>
          <w:r>
            <w:fldChar w:fldCharType="separate"/>
          </w:r>
          <w:r>
            <w:rPr>
              <w:rStyle w:val="25"/>
              <w:rFonts w:hint="eastAsia" w:ascii="方正仿宋_GBK" w:eastAsia="方正仿宋_GBK"/>
            </w:rPr>
            <w:t>第三节  完善交通设施网络</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_Toc66870194 \h </w:instrText>
          </w:r>
          <w:r>
            <w:rPr>
              <w:rFonts w:hint="eastAsia" w:ascii="方正仿宋_GBK" w:eastAsia="方正仿宋_GBK"/>
            </w:rPr>
            <w:fldChar w:fldCharType="separate"/>
          </w:r>
          <w:r>
            <w:rPr>
              <w:rFonts w:ascii="方正仿宋_GBK" w:eastAsia="方正仿宋_GBK"/>
            </w:rPr>
            <w:t>59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"_Toc66870195" </w:instrText>
          </w:r>
          <w:r>
            <w:fldChar w:fldCharType="separate"/>
          </w:r>
          <w:r>
            <w:rPr>
              <w:rStyle w:val="25"/>
              <w:rFonts w:hint="eastAsia" w:ascii="方正仿宋_GBK" w:eastAsia="方正仿宋_GBK"/>
            </w:rPr>
            <w:t>第四节  推动地区合作交流</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_Toc66870195 \h </w:instrText>
          </w:r>
          <w:r>
            <w:rPr>
              <w:rFonts w:hint="eastAsia" w:ascii="方正仿宋_GBK" w:eastAsia="方正仿宋_GBK"/>
            </w:rPr>
            <w:fldChar w:fldCharType="separate"/>
          </w:r>
          <w:r>
            <w:rPr>
              <w:rFonts w:ascii="方正仿宋_GBK" w:eastAsia="方正仿宋_GBK"/>
            </w:rPr>
            <w:t>63</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"_Toc66870196" </w:instrText>
          </w:r>
          <w:r>
            <w:fldChar w:fldCharType="separate"/>
          </w:r>
          <w:r>
            <w:rPr>
              <w:rStyle w:val="25"/>
              <w:rFonts w:hint="eastAsia" w:ascii="方正仿宋_GBK" w:hAnsi="Times New Roman" w:cs="Times New Roman"/>
              <w:bCs/>
            </w:rPr>
            <w:t>第八章  做强中心城市功能</w:t>
          </w:r>
          <w:r>
            <w:rPr>
              <w:rFonts w:hint="eastAsia" w:ascii="方正仿宋_GBK"/>
            </w:rPr>
            <w:tab/>
          </w:r>
          <w:r>
            <w:rPr>
              <w:rFonts w:hint="eastAsia" w:ascii="方正仿宋_GBK"/>
            </w:rPr>
            <w:fldChar w:fldCharType="begin"/>
          </w:r>
          <w:r>
            <w:rPr>
              <w:rFonts w:hint="eastAsia" w:ascii="方正仿宋_GBK"/>
            </w:rPr>
            <w:instrText xml:space="preserve"> PAGEREF _Toc66870196 \h </w:instrText>
          </w:r>
          <w:r>
            <w:rPr>
              <w:rFonts w:hint="eastAsia" w:ascii="方正仿宋_GBK"/>
            </w:rPr>
            <w:fldChar w:fldCharType="separate"/>
          </w:r>
          <w:r>
            <w:rPr>
              <w:rFonts w:ascii="方正仿宋_GBK"/>
            </w:rPr>
            <w:t>65</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"_Toc66870197" </w:instrText>
          </w:r>
          <w:r>
            <w:fldChar w:fldCharType="separate"/>
          </w:r>
          <w:r>
            <w:rPr>
              <w:rStyle w:val="25"/>
              <w:rFonts w:hint="eastAsia" w:ascii="方正仿宋_GBK" w:eastAsia="方正仿宋_GBK"/>
            </w:rPr>
            <w:t>第一节  优化城市空间格局</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_Toc66870197 \h </w:instrText>
          </w:r>
          <w:r>
            <w:rPr>
              <w:rFonts w:hint="eastAsia" w:ascii="方正仿宋_GBK" w:eastAsia="方正仿宋_GBK"/>
            </w:rPr>
            <w:fldChar w:fldCharType="separate"/>
          </w:r>
          <w:r>
            <w:rPr>
              <w:rFonts w:ascii="方正仿宋_GBK" w:eastAsia="方正仿宋_GBK"/>
            </w:rPr>
            <w:t>65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"_Toc66870198" </w:instrText>
          </w:r>
          <w:r>
            <w:fldChar w:fldCharType="separate"/>
          </w:r>
          <w:r>
            <w:rPr>
              <w:rStyle w:val="25"/>
              <w:rFonts w:hint="eastAsia" w:ascii="方正仿宋_GBK" w:eastAsia="方正仿宋_GBK"/>
            </w:rPr>
            <w:t>第二节  提升城市功能品质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_Toc66870198 \h </w:instrText>
          </w:r>
          <w:r>
            <w:rPr>
              <w:rFonts w:hint="eastAsia" w:ascii="方正仿宋_GBK" w:eastAsia="方正仿宋_GBK"/>
            </w:rPr>
            <w:fldChar w:fldCharType="separate"/>
          </w:r>
          <w:r>
            <w:rPr>
              <w:rFonts w:ascii="方正仿宋_GBK" w:eastAsia="方正仿宋_GBK"/>
            </w:rPr>
            <w:t>67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"_Toc66870199" </w:instrText>
          </w:r>
          <w:r>
            <w:fldChar w:fldCharType="separate"/>
          </w:r>
          <w:r>
            <w:rPr>
              <w:rStyle w:val="25"/>
              <w:rFonts w:hint="eastAsia" w:ascii="方正仿宋_GBK" w:eastAsia="方正仿宋_GBK"/>
            </w:rPr>
            <w:t>第三节  完善城市功能性基础设施</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_Toc66870199 \h </w:instrText>
          </w:r>
          <w:r>
            <w:rPr>
              <w:rFonts w:hint="eastAsia" w:ascii="方正仿宋_GBK" w:eastAsia="方正仿宋_GBK"/>
            </w:rPr>
            <w:fldChar w:fldCharType="separate"/>
          </w:r>
          <w:r>
            <w:rPr>
              <w:rFonts w:ascii="方正仿宋_GBK" w:eastAsia="方正仿宋_GBK"/>
            </w:rPr>
            <w:t>69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"_Toc66870200" </w:instrText>
          </w:r>
          <w:r>
            <w:fldChar w:fldCharType="separate"/>
          </w:r>
          <w:r>
            <w:rPr>
              <w:rStyle w:val="25"/>
              <w:rFonts w:hint="eastAsia" w:ascii="方正仿宋_GBK" w:eastAsia="方正仿宋_GBK"/>
            </w:rPr>
            <w:t>第四节  建设新型智慧城市</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_Toc66870200 \h </w:instrText>
          </w:r>
          <w:r>
            <w:rPr>
              <w:rFonts w:hint="eastAsia" w:ascii="方正仿宋_GBK" w:eastAsia="方正仿宋_GBK"/>
            </w:rPr>
            <w:fldChar w:fldCharType="separate"/>
          </w:r>
          <w:r>
            <w:rPr>
              <w:rFonts w:ascii="方正仿宋_GBK" w:eastAsia="方正仿宋_GBK"/>
            </w:rPr>
            <w:t>71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"_Toc66870201" </w:instrText>
          </w:r>
          <w:r>
            <w:fldChar w:fldCharType="separate"/>
          </w:r>
          <w:r>
            <w:rPr>
              <w:rStyle w:val="25"/>
              <w:rFonts w:hint="eastAsia" w:ascii="方正仿宋_GBK" w:hAnsi="Times New Roman" w:cs="Times New Roman"/>
              <w:bCs/>
            </w:rPr>
            <w:t>第九章  全面推进乡村振兴</w:t>
          </w:r>
          <w:r>
            <w:rPr>
              <w:rFonts w:hint="eastAsia" w:ascii="方正仿宋_GBK"/>
            </w:rPr>
            <w:tab/>
          </w:r>
          <w:r>
            <w:rPr>
              <w:rFonts w:hint="eastAsia" w:ascii="方正仿宋_GBK"/>
            </w:rPr>
            <w:fldChar w:fldCharType="begin"/>
          </w:r>
          <w:r>
            <w:rPr>
              <w:rFonts w:hint="eastAsia" w:ascii="方正仿宋_GBK"/>
            </w:rPr>
            <w:instrText xml:space="preserve"> PAGEREF _Toc66870201 \h </w:instrText>
          </w:r>
          <w:r>
            <w:rPr>
              <w:rFonts w:hint="eastAsia" w:ascii="方正仿宋_GBK"/>
            </w:rPr>
            <w:fldChar w:fldCharType="separate"/>
          </w:r>
          <w:r>
            <w:rPr>
              <w:rFonts w:ascii="方正仿宋_GBK"/>
            </w:rPr>
            <w:t>73</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"_Toc66870202" </w:instrText>
          </w:r>
          <w:r>
            <w:fldChar w:fldCharType="separate"/>
          </w:r>
          <w:r>
            <w:rPr>
              <w:rStyle w:val="25"/>
              <w:rFonts w:hint="eastAsia" w:ascii="方正仿宋_GBK" w:eastAsia="方正仿宋_GBK"/>
            </w:rPr>
            <w:t>第一节  发展现代农业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_Toc66870202 \h </w:instrText>
          </w:r>
          <w:r>
            <w:rPr>
              <w:rFonts w:hint="eastAsia" w:ascii="方正仿宋_GBK" w:eastAsia="方正仿宋_GBK"/>
            </w:rPr>
            <w:fldChar w:fldCharType="separate"/>
          </w:r>
          <w:r>
            <w:rPr>
              <w:rFonts w:ascii="方正仿宋_GBK" w:eastAsia="方正仿宋_GBK"/>
            </w:rPr>
            <w:t>73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"_Toc66870203" </w:instrText>
          </w:r>
          <w:r>
            <w:fldChar w:fldCharType="separate"/>
          </w:r>
          <w:r>
            <w:rPr>
              <w:rStyle w:val="25"/>
              <w:rFonts w:hint="eastAsia" w:ascii="方正仿宋_GBK" w:eastAsia="方正仿宋_GBK"/>
            </w:rPr>
            <w:t>第二节  建设美丽田园乡村</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_Toc66870203 \h </w:instrText>
          </w:r>
          <w:r>
            <w:rPr>
              <w:rFonts w:hint="eastAsia" w:ascii="方正仿宋_GBK" w:eastAsia="方正仿宋_GBK"/>
            </w:rPr>
            <w:fldChar w:fldCharType="separate"/>
          </w:r>
          <w:r>
            <w:rPr>
              <w:rFonts w:ascii="方正仿宋_GBK" w:eastAsia="方正仿宋_GBK"/>
            </w:rPr>
            <w:t>75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"_Toc66870204" </w:instrText>
          </w:r>
          <w:r>
            <w:fldChar w:fldCharType="separate"/>
          </w:r>
          <w:r>
            <w:rPr>
              <w:rStyle w:val="25"/>
              <w:rFonts w:hint="eastAsia" w:ascii="方正仿宋_GBK" w:eastAsia="方正仿宋_GBK"/>
            </w:rPr>
            <w:t>第三节  深化农村改革</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_Toc66870204 \h </w:instrText>
          </w:r>
          <w:r>
            <w:rPr>
              <w:rFonts w:hint="eastAsia" w:ascii="方正仿宋_GBK" w:eastAsia="方正仿宋_GBK"/>
            </w:rPr>
            <w:fldChar w:fldCharType="separate"/>
          </w:r>
          <w:r>
            <w:rPr>
              <w:rFonts w:ascii="方正仿宋_GBK" w:eastAsia="方正仿宋_GBK"/>
            </w:rPr>
            <w:t>77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"_Toc66870205" </w:instrText>
          </w:r>
          <w:r>
            <w:fldChar w:fldCharType="separate"/>
          </w:r>
          <w:r>
            <w:rPr>
              <w:rStyle w:val="25"/>
              <w:rFonts w:hint="eastAsia" w:ascii="方正仿宋_GBK" w:eastAsia="方正仿宋_GBK"/>
            </w:rPr>
            <w:t>第四节  促进城乡融合</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_Toc66870205 \h </w:instrText>
          </w:r>
          <w:r>
            <w:rPr>
              <w:rFonts w:hint="eastAsia" w:ascii="方正仿宋_GBK" w:eastAsia="方正仿宋_GBK"/>
            </w:rPr>
            <w:fldChar w:fldCharType="separate"/>
          </w:r>
          <w:r>
            <w:rPr>
              <w:rFonts w:ascii="方正仿宋_GBK" w:eastAsia="方正仿宋_GBK"/>
            </w:rPr>
            <w:t>78</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"_Toc66870206" </w:instrText>
          </w:r>
          <w:r>
            <w:fldChar w:fldCharType="separate"/>
          </w:r>
          <w:r>
            <w:rPr>
              <w:rStyle w:val="25"/>
              <w:rFonts w:hint="eastAsia" w:ascii="方正仿宋_GBK" w:hAnsi="Times New Roman" w:cs="Times New Roman"/>
              <w:bCs/>
            </w:rPr>
            <w:t>第十章  深化经济领域改革</w:t>
          </w:r>
          <w:r>
            <w:rPr>
              <w:rFonts w:hint="eastAsia" w:ascii="方正仿宋_GBK"/>
            </w:rPr>
            <w:tab/>
          </w:r>
          <w:r>
            <w:rPr>
              <w:rFonts w:hint="eastAsia" w:ascii="方正仿宋_GBK"/>
            </w:rPr>
            <w:fldChar w:fldCharType="begin"/>
          </w:r>
          <w:r>
            <w:rPr>
              <w:rFonts w:hint="eastAsia" w:ascii="方正仿宋_GBK"/>
            </w:rPr>
            <w:instrText xml:space="preserve"> PAGEREF _Toc66870206 \h </w:instrText>
          </w:r>
          <w:r>
            <w:rPr>
              <w:rFonts w:hint="eastAsia" w:ascii="方正仿宋_GBK"/>
            </w:rPr>
            <w:fldChar w:fldCharType="separate"/>
          </w:r>
          <w:r>
            <w:rPr>
              <w:rFonts w:ascii="方正仿宋_GBK"/>
            </w:rPr>
            <w:t>80</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"_Toc66870207" </w:instrText>
          </w:r>
          <w:r>
            <w:fldChar w:fldCharType="separate"/>
          </w:r>
          <w:r>
            <w:rPr>
              <w:rStyle w:val="25"/>
              <w:rFonts w:hint="eastAsia" w:ascii="方正仿宋_GBK" w:eastAsia="方正仿宋_GBK"/>
            </w:rPr>
            <w:t>第一节  增强市场主体发展活力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_Toc66870207 \h </w:instrText>
          </w:r>
          <w:r>
            <w:rPr>
              <w:rFonts w:hint="eastAsia" w:ascii="方正仿宋_GBK" w:eastAsia="方正仿宋_GBK"/>
            </w:rPr>
            <w:fldChar w:fldCharType="separate"/>
          </w:r>
          <w:r>
            <w:rPr>
              <w:rFonts w:ascii="方正仿宋_GBK" w:eastAsia="方正仿宋_GBK"/>
            </w:rPr>
            <w:t>80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"_Toc66870208" </w:instrText>
          </w:r>
          <w:r>
            <w:fldChar w:fldCharType="separate"/>
          </w:r>
          <w:r>
            <w:rPr>
              <w:rStyle w:val="25"/>
              <w:rFonts w:hint="eastAsia" w:ascii="方正仿宋_GBK" w:eastAsia="方正仿宋_GBK"/>
            </w:rPr>
            <w:t>第二节  建设高标准市场体系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_Toc66870208 \h </w:instrText>
          </w:r>
          <w:r>
            <w:rPr>
              <w:rFonts w:hint="eastAsia" w:ascii="方正仿宋_GBK" w:eastAsia="方正仿宋_GBK"/>
            </w:rPr>
            <w:fldChar w:fldCharType="separate"/>
          </w:r>
          <w:r>
            <w:rPr>
              <w:rFonts w:ascii="方正仿宋_GBK" w:eastAsia="方正仿宋_GBK"/>
            </w:rPr>
            <w:t>82</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"_Toc66870209" </w:instrText>
          </w:r>
          <w:r>
            <w:fldChar w:fldCharType="separate"/>
          </w:r>
          <w:r>
            <w:rPr>
              <w:rStyle w:val="25"/>
              <w:rFonts w:hint="eastAsia" w:ascii="方正仿宋_GBK" w:eastAsia="方正仿宋_GBK"/>
            </w:rPr>
            <w:t>第三节  深化财税投融资体制改革</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_Toc66870209 \h </w:instrText>
          </w:r>
          <w:r>
            <w:rPr>
              <w:rFonts w:hint="eastAsia" w:ascii="方正仿宋_GBK" w:eastAsia="方正仿宋_GBK"/>
            </w:rPr>
            <w:fldChar w:fldCharType="separate"/>
          </w:r>
          <w:r>
            <w:rPr>
              <w:rFonts w:ascii="方正仿宋_GBK" w:eastAsia="方正仿宋_GBK"/>
            </w:rPr>
            <w:t>83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"_Toc66870210" </w:instrText>
          </w:r>
          <w:r>
            <w:fldChar w:fldCharType="separate"/>
          </w:r>
          <w:r>
            <w:rPr>
              <w:rStyle w:val="25"/>
              <w:rFonts w:hint="eastAsia" w:ascii="方正仿宋_GBK" w:eastAsia="方正仿宋_GBK"/>
            </w:rPr>
            <w:t>第四节  持续深化“放管服”改革</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_Toc66870210 \h </w:instrText>
          </w:r>
          <w:r>
            <w:rPr>
              <w:rFonts w:hint="eastAsia" w:ascii="方正仿宋_GBK" w:eastAsia="方正仿宋_GBK"/>
            </w:rPr>
            <w:fldChar w:fldCharType="separate"/>
          </w:r>
          <w:r>
            <w:rPr>
              <w:rFonts w:ascii="方正仿宋_GBK" w:eastAsia="方正仿宋_GBK"/>
            </w:rPr>
            <w:t>85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"_Toc66870211" </w:instrText>
          </w:r>
          <w:r>
            <w:fldChar w:fldCharType="separate"/>
          </w:r>
          <w:r>
            <w:rPr>
              <w:rStyle w:val="25"/>
              <w:rFonts w:hint="eastAsia" w:ascii="方正仿宋_GBK" w:eastAsia="方正仿宋_GBK"/>
            </w:rPr>
            <w:t>第五节  突出集成改革突破</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_Toc66870211 \h </w:instrText>
          </w:r>
          <w:r>
            <w:rPr>
              <w:rFonts w:hint="eastAsia" w:ascii="方正仿宋_GBK" w:eastAsia="方正仿宋_GBK"/>
            </w:rPr>
            <w:fldChar w:fldCharType="separate"/>
          </w:r>
          <w:r>
            <w:rPr>
              <w:rFonts w:ascii="方正仿宋_GBK" w:eastAsia="方正仿宋_GBK"/>
            </w:rPr>
            <w:t>87</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"_Toc66870212" </w:instrText>
          </w:r>
          <w:r>
            <w:fldChar w:fldCharType="separate"/>
          </w:r>
          <w:r>
            <w:rPr>
              <w:rStyle w:val="25"/>
              <w:rFonts w:hint="eastAsia" w:ascii="方正仿宋_GBK" w:hAnsi="Times New Roman" w:cs="Times New Roman"/>
              <w:bCs/>
            </w:rPr>
            <w:t>第十一章  促进高水平对外开放</w:t>
          </w:r>
          <w:r>
            <w:rPr>
              <w:rFonts w:hint="eastAsia" w:ascii="方正仿宋_GBK"/>
            </w:rPr>
            <w:tab/>
          </w:r>
          <w:r>
            <w:rPr>
              <w:rFonts w:hint="eastAsia" w:ascii="方正仿宋_GBK"/>
            </w:rPr>
            <w:fldChar w:fldCharType="begin"/>
          </w:r>
          <w:r>
            <w:rPr>
              <w:rFonts w:hint="eastAsia" w:ascii="方正仿宋_GBK"/>
            </w:rPr>
            <w:instrText xml:space="preserve"> PAGEREF _Toc66870212 \h </w:instrText>
          </w:r>
          <w:r>
            <w:rPr>
              <w:rFonts w:hint="eastAsia" w:ascii="方正仿宋_GBK"/>
            </w:rPr>
            <w:fldChar w:fldCharType="separate"/>
          </w:r>
          <w:r>
            <w:rPr>
              <w:rFonts w:ascii="方正仿宋_GBK"/>
            </w:rPr>
            <w:t>88</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"_Toc66870213" </w:instrText>
          </w:r>
          <w:r>
            <w:fldChar w:fldCharType="separate"/>
          </w:r>
          <w:r>
            <w:rPr>
              <w:rStyle w:val="25"/>
              <w:rFonts w:hint="eastAsia" w:ascii="方正仿宋_GBK" w:eastAsia="方正仿宋_GBK"/>
            </w:rPr>
            <w:t>第一节  高质量融入“一带一路”建设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_Toc66870213 \h </w:instrText>
          </w:r>
          <w:r>
            <w:rPr>
              <w:rFonts w:hint="eastAsia" w:ascii="方正仿宋_GBK" w:eastAsia="方正仿宋_GBK"/>
            </w:rPr>
            <w:fldChar w:fldCharType="separate"/>
          </w:r>
          <w:r>
            <w:rPr>
              <w:rFonts w:ascii="方正仿宋_GBK" w:eastAsia="方正仿宋_GBK"/>
            </w:rPr>
            <w:t>88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"_Toc66870214" </w:instrText>
          </w:r>
          <w:r>
            <w:fldChar w:fldCharType="separate"/>
          </w:r>
          <w:r>
            <w:rPr>
              <w:rStyle w:val="25"/>
              <w:rFonts w:hint="eastAsia" w:ascii="方正仿宋_GBK" w:eastAsia="方正仿宋_GBK"/>
            </w:rPr>
            <w:t>第二节  增强外贸外资发展新动能</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_Toc66870214 \h </w:instrText>
          </w:r>
          <w:r>
            <w:rPr>
              <w:rFonts w:hint="eastAsia" w:ascii="方正仿宋_GBK" w:eastAsia="方正仿宋_GBK"/>
            </w:rPr>
            <w:fldChar w:fldCharType="separate"/>
          </w:r>
          <w:r>
            <w:rPr>
              <w:rFonts w:ascii="方正仿宋_GBK" w:eastAsia="方正仿宋_GBK"/>
            </w:rPr>
            <w:t>90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"_Toc66870215" </w:instrText>
          </w:r>
          <w:r>
            <w:fldChar w:fldCharType="separate"/>
          </w:r>
          <w:r>
            <w:rPr>
              <w:rStyle w:val="25"/>
              <w:rFonts w:hint="eastAsia" w:ascii="方正仿宋_GBK" w:eastAsia="方正仿宋_GBK"/>
            </w:rPr>
            <w:t>第三节  建设国际化载体平台</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_Toc66870215 \h </w:instrText>
          </w:r>
          <w:r>
            <w:rPr>
              <w:rFonts w:hint="eastAsia" w:ascii="方正仿宋_GBK" w:eastAsia="方正仿宋_GBK"/>
            </w:rPr>
            <w:fldChar w:fldCharType="separate"/>
          </w:r>
          <w:r>
            <w:rPr>
              <w:rFonts w:ascii="方正仿宋_GBK" w:eastAsia="方正仿宋_GBK"/>
            </w:rPr>
            <w:t>91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"_Toc66870216" </w:instrText>
          </w:r>
          <w:r>
            <w:fldChar w:fldCharType="separate"/>
          </w:r>
          <w:r>
            <w:rPr>
              <w:rStyle w:val="25"/>
              <w:rFonts w:hint="eastAsia" w:ascii="方正仿宋_GBK" w:eastAsia="方正仿宋_GBK"/>
            </w:rPr>
            <w:t>第四节  完善国际商务服务体系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_Toc66870216 \h </w:instrText>
          </w:r>
          <w:r>
            <w:rPr>
              <w:rFonts w:hint="eastAsia" w:ascii="方正仿宋_GBK" w:eastAsia="方正仿宋_GBK"/>
            </w:rPr>
            <w:fldChar w:fldCharType="separate"/>
          </w:r>
          <w:r>
            <w:rPr>
              <w:rFonts w:ascii="方正仿宋_GBK" w:eastAsia="方正仿宋_GBK"/>
            </w:rPr>
            <w:t>93</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"_Toc66870217" </w:instrText>
          </w:r>
          <w:r>
            <w:fldChar w:fldCharType="separate"/>
          </w:r>
          <w:r>
            <w:rPr>
              <w:rStyle w:val="25"/>
              <w:rFonts w:hint="eastAsia" w:ascii="方正仿宋_GBK" w:hAnsi="Times New Roman" w:cs="Times New Roman"/>
              <w:bCs/>
            </w:rPr>
            <w:t>第十二章  提升城市文化软实力</w:t>
          </w:r>
          <w:r>
            <w:rPr>
              <w:rFonts w:hint="eastAsia" w:ascii="方正仿宋_GBK"/>
            </w:rPr>
            <w:tab/>
          </w:r>
          <w:r>
            <w:rPr>
              <w:rFonts w:hint="eastAsia" w:ascii="方正仿宋_GBK"/>
            </w:rPr>
            <w:fldChar w:fldCharType="begin"/>
          </w:r>
          <w:r>
            <w:rPr>
              <w:rFonts w:hint="eastAsia" w:ascii="方正仿宋_GBK"/>
            </w:rPr>
            <w:instrText xml:space="preserve"> PAGEREF _Toc66870217 \h </w:instrText>
          </w:r>
          <w:r>
            <w:rPr>
              <w:rFonts w:hint="eastAsia" w:ascii="方正仿宋_GBK"/>
            </w:rPr>
            <w:fldChar w:fldCharType="separate"/>
          </w:r>
          <w:r>
            <w:rPr>
              <w:rFonts w:ascii="方正仿宋_GBK"/>
            </w:rPr>
            <w:t>94</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"_Toc66870218" </w:instrText>
          </w:r>
          <w:r>
            <w:fldChar w:fldCharType="separate"/>
          </w:r>
          <w:r>
            <w:rPr>
              <w:rStyle w:val="25"/>
              <w:rFonts w:hint="eastAsia" w:ascii="方正仿宋_GBK" w:eastAsia="方正仿宋_GBK"/>
            </w:rPr>
            <w:t>第一节  强化思想价值引领</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_Toc66870218 \h </w:instrText>
          </w:r>
          <w:r>
            <w:rPr>
              <w:rFonts w:hint="eastAsia" w:ascii="方正仿宋_GBK" w:eastAsia="方正仿宋_GBK"/>
            </w:rPr>
            <w:fldChar w:fldCharType="separate"/>
          </w:r>
          <w:r>
            <w:rPr>
              <w:rFonts w:ascii="方正仿宋_GBK" w:eastAsia="方正仿宋_GBK"/>
            </w:rPr>
            <w:t>94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"_Toc66870219" </w:instrText>
          </w:r>
          <w:r>
            <w:fldChar w:fldCharType="separate"/>
          </w:r>
          <w:r>
            <w:rPr>
              <w:rStyle w:val="25"/>
              <w:rFonts w:hint="eastAsia" w:ascii="方正仿宋_GBK" w:eastAsia="方正仿宋_GBK"/>
            </w:rPr>
            <w:t>第二节  彰显无锡文化特质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_Toc66870219 \h </w:instrText>
          </w:r>
          <w:r>
            <w:rPr>
              <w:rFonts w:hint="eastAsia" w:ascii="方正仿宋_GBK" w:eastAsia="方正仿宋_GBK"/>
            </w:rPr>
            <w:fldChar w:fldCharType="separate"/>
          </w:r>
          <w:r>
            <w:rPr>
              <w:rFonts w:ascii="方正仿宋_GBK" w:eastAsia="方正仿宋_GBK"/>
            </w:rPr>
            <w:t>96</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"_Toc66870220" </w:instrText>
          </w:r>
          <w:r>
            <w:fldChar w:fldCharType="separate"/>
          </w:r>
          <w:r>
            <w:rPr>
              <w:rStyle w:val="25"/>
              <w:rFonts w:hint="eastAsia" w:ascii="方正仿宋_GBK" w:eastAsia="方正仿宋_GBK"/>
            </w:rPr>
            <w:t>第三节  提升公共文化服务水平</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_Toc66870220 \h </w:instrText>
          </w:r>
          <w:r>
            <w:rPr>
              <w:rFonts w:hint="eastAsia" w:ascii="方正仿宋_GBK" w:eastAsia="方正仿宋_GBK"/>
            </w:rPr>
            <w:fldChar w:fldCharType="separate"/>
          </w:r>
          <w:r>
            <w:rPr>
              <w:rFonts w:ascii="方正仿宋_GBK" w:eastAsia="方正仿宋_GBK"/>
            </w:rPr>
            <w:t>98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"_Toc66870221" </w:instrText>
          </w:r>
          <w:r>
            <w:fldChar w:fldCharType="separate"/>
          </w:r>
          <w:r>
            <w:rPr>
              <w:rStyle w:val="25"/>
              <w:rFonts w:hint="eastAsia" w:ascii="方正仿宋_GBK" w:eastAsia="方正仿宋_GBK"/>
            </w:rPr>
            <w:t>第四节  推动文化产业发展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_Toc66870221 \h </w:instrText>
          </w:r>
          <w:r>
            <w:rPr>
              <w:rFonts w:hint="eastAsia" w:ascii="方正仿宋_GBK" w:eastAsia="方正仿宋_GBK"/>
            </w:rPr>
            <w:fldChar w:fldCharType="separate"/>
          </w:r>
          <w:r>
            <w:rPr>
              <w:rFonts w:ascii="方正仿宋_GBK" w:eastAsia="方正仿宋_GBK"/>
            </w:rPr>
            <w:t>100</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"_Toc66870222" </w:instrText>
          </w:r>
          <w:r>
            <w:fldChar w:fldCharType="separate"/>
          </w:r>
          <w:r>
            <w:rPr>
              <w:rStyle w:val="25"/>
              <w:rFonts w:hint="eastAsia" w:ascii="方正仿宋_GBK" w:hAnsi="Times New Roman" w:cs="Times New Roman"/>
              <w:bCs/>
            </w:rPr>
            <w:t>第十三章  加强生态文明建设</w:t>
          </w:r>
          <w:r>
            <w:rPr>
              <w:rFonts w:hint="eastAsia" w:ascii="方正仿宋_GBK"/>
            </w:rPr>
            <w:tab/>
          </w:r>
          <w:r>
            <w:rPr>
              <w:rFonts w:hint="eastAsia" w:ascii="方正仿宋_GBK"/>
            </w:rPr>
            <w:fldChar w:fldCharType="begin"/>
          </w:r>
          <w:r>
            <w:rPr>
              <w:rFonts w:hint="eastAsia" w:ascii="方正仿宋_GBK"/>
            </w:rPr>
            <w:instrText xml:space="preserve"> PAGEREF _Toc66870222 \h </w:instrText>
          </w:r>
          <w:r>
            <w:rPr>
              <w:rFonts w:hint="eastAsia" w:ascii="方正仿宋_GBK"/>
            </w:rPr>
            <w:fldChar w:fldCharType="separate"/>
          </w:r>
          <w:r>
            <w:rPr>
              <w:rFonts w:ascii="方正仿宋_GBK"/>
            </w:rPr>
            <w:t>102</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"_Toc66870223" </w:instrText>
          </w:r>
          <w:r>
            <w:fldChar w:fldCharType="separate"/>
          </w:r>
          <w:r>
            <w:rPr>
              <w:rStyle w:val="25"/>
              <w:rFonts w:hint="eastAsia" w:ascii="方正仿宋_GBK" w:eastAsia="方正仿宋_GBK"/>
            </w:rPr>
            <w:t>第一节  促进长江经济带高质量发展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_Toc66870223 \h </w:instrText>
          </w:r>
          <w:r>
            <w:rPr>
              <w:rFonts w:hint="eastAsia" w:ascii="方正仿宋_GBK" w:eastAsia="方正仿宋_GBK"/>
            </w:rPr>
            <w:fldChar w:fldCharType="separate"/>
          </w:r>
          <w:r>
            <w:rPr>
              <w:rFonts w:ascii="方正仿宋_GBK" w:eastAsia="方正仿宋_GBK"/>
            </w:rPr>
            <w:t>102</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"_Toc66870224" </w:instrText>
          </w:r>
          <w:r>
            <w:fldChar w:fldCharType="separate"/>
          </w:r>
          <w:r>
            <w:rPr>
              <w:rStyle w:val="25"/>
              <w:rFonts w:hint="eastAsia" w:ascii="方正仿宋_GBK" w:eastAsia="方正仿宋_GBK"/>
            </w:rPr>
            <w:t>第二节  推动生态空间保护与修复</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_Toc66870224 \h </w:instrText>
          </w:r>
          <w:r>
            <w:rPr>
              <w:rFonts w:hint="eastAsia" w:ascii="方正仿宋_GBK" w:eastAsia="方正仿宋_GBK"/>
            </w:rPr>
            <w:fldChar w:fldCharType="separate"/>
          </w:r>
          <w:r>
            <w:rPr>
              <w:rFonts w:ascii="方正仿宋_GBK" w:eastAsia="方正仿宋_GBK"/>
            </w:rPr>
            <w:t>103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"_Toc66870225" </w:instrText>
          </w:r>
          <w:r>
            <w:fldChar w:fldCharType="separate"/>
          </w:r>
          <w:r>
            <w:rPr>
              <w:rStyle w:val="25"/>
              <w:rFonts w:hint="eastAsia" w:ascii="方正仿宋_GBK" w:eastAsia="方正仿宋_GBK"/>
            </w:rPr>
            <w:t>第三节  加强环境综合治理</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_Toc66870225 \h </w:instrText>
          </w:r>
          <w:r>
            <w:rPr>
              <w:rFonts w:hint="eastAsia" w:ascii="方正仿宋_GBK" w:eastAsia="方正仿宋_GBK"/>
            </w:rPr>
            <w:fldChar w:fldCharType="separate"/>
          </w:r>
          <w:r>
            <w:rPr>
              <w:rFonts w:ascii="方正仿宋_GBK" w:eastAsia="方正仿宋_GBK"/>
            </w:rPr>
            <w:t>105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"_Toc66870226" </w:instrText>
          </w:r>
          <w:r>
            <w:fldChar w:fldCharType="separate"/>
          </w:r>
          <w:r>
            <w:rPr>
              <w:rStyle w:val="25"/>
              <w:rFonts w:hint="eastAsia" w:ascii="方正仿宋_GBK" w:eastAsia="方正仿宋_GBK"/>
            </w:rPr>
            <w:t>第四节  推进资源集约利用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_Toc66870226 \h </w:instrText>
          </w:r>
          <w:r>
            <w:rPr>
              <w:rFonts w:hint="eastAsia" w:ascii="方正仿宋_GBK" w:eastAsia="方正仿宋_GBK"/>
            </w:rPr>
            <w:fldChar w:fldCharType="separate"/>
          </w:r>
          <w:r>
            <w:rPr>
              <w:rFonts w:ascii="方正仿宋_GBK" w:eastAsia="方正仿宋_GBK"/>
            </w:rPr>
            <w:t>107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"_Toc66870227" </w:instrText>
          </w:r>
          <w:r>
            <w:fldChar w:fldCharType="separate"/>
          </w:r>
          <w:r>
            <w:rPr>
              <w:rStyle w:val="25"/>
              <w:rFonts w:hint="eastAsia" w:ascii="方正仿宋_GBK" w:eastAsia="方正仿宋_GBK"/>
            </w:rPr>
            <w:t>第五节  发展绿色经济</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_Toc66870227 \h </w:instrText>
          </w:r>
          <w:r>
            <w:rPr>
              <w:rFonts w:hint="eastAsia" w:ascii="方正仿宋_GBK" w:eastAsia="方正仿宋_GBK"/>
            </w:rPr>
            <w:fldChar w:fldCharType="separate"/>
          </w:r>
          <w:r>
            <w:rPr>
              <w:rFonts w:ascii="方正仿宋_GBK" w:eastAsia="方正仿宋_GBK"/>
            </w:rPr>
            <w:t>109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"_Toc66870228" </w:instrText>
          </w:r>
          <w:r>
            <w:fldChar w:fldCharType="separate"/>
          </w:r>
          <w:r>
            <w:rPr>
              <w:rStyle w:val="25"/>
              <w:rFonts w:hint="eastAsia" w:ascii="方正仿宋_GBK" w:eastAsia="方正仿宋_GBK"/>
            </w:rPr>
            <w:t>第六节  深化生态文明制度创新</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_Toc66870228 \h </w:instrText>
          </w:r>
          <w:r>
            <w:rPr>
              <w:rFonts w:hint="eastAsia" w:ascii="方正仿宋_GBK" w:eastAsia="方正仿宋_GBK"/>
            </w:rPr>
            <w:fldChar w:fldCharType="separate"/>
          </w:r>
          <w:r>
            <w:rPr>
              <w:rFonts w:ascii="方正仿宋_GBK" w:eastAsia="方正仿宋_GBK"/>
            </w:rPr>
            <w:t>111</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"_Toc66870229" </w:instrText>
          </w:r>
          <w:r>
            <w:fldChar w:fldCharType="separate"/>
          </w:r>
          <w:r>
            <w:rPr>
              <w:rStyle w:val="25"/>
              <w:rFonts w:hint="eastAsia" w:ascii="方正仿宋_GBK" w:hAnsi="Times New Roman" w:cs="Times New Roman"/>
              <w:bCs/>
            </w:rPr>
            <w:t>第十四章  持续改善人民生活品质</w:t>
          </w:r>
          <w:r>
            <w:rPr>
              <w:rFonts w:hint="eastAsia" w:ascii="方正仿宋_GBK"/>
            </w:rPr>
            <w:tab/>
          </w:r>
          <w:r>
            <w:rPr>
              <w:rFonts w:hint="eastAsia" w:ascii="方正仿宋_GBK"/>
            </w:rPr>
            <w:fldChar w:fldCharType="begin"/>
          </w:r>
          <w:r>
            <w:rPr>
              <w:rFonts w:hint="eastAsia" w:ascii="方正仿宋_GBK"/>
            </w:rPr>
            <w:instrText xml:space="preserve"> PAGEREF _Toc66870229 \h </w:instrText>
          </w:r>
          <w:r>
            <w:rPr>
              <w:rFonts w:hint="eastAsia" w:ascii="方正仿宋_GBK"/>
            </w:rPr>
            <w:fldChar w:fldCharType="separate"/>
          </w:r>
          <w:r>
            <w:rPr>
              <w:rFonts w:ascii="方正仿宋_GBK"/>
            </w:rPr>
            <w:t>113</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"_Toc66870230" </w:instrText>
          </w:r>
          <w:r>
            <w:fldChar w:fldCharType="separate"/>
          </w:r>
          <w:r>
            <w:rPr>
              <w:rStyle w:val="25"/>
              <w:rFonts w:hint="eastAsia" w:ascii="方正仿宋_GBK" w:eastAsia="方正仿宋_GBK"/>
            </w:rPr>
            <w:t>第一节  促进人口长期均衡发展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_Toc66870230 \h </w:instrText>
          </w:r>
          <w:r>
            <w:rPr>
              <w:rFonts w:hint="eastAsia" w:ascii="方正仿宋_GBK" w:eastAsia="方正仿宋_GBK"/>
            </w:rPr>
            <w:fldChar w:fldCharType="separate"/>
          </w:r>
          <w:r>
            <w:rPr>
              <w:rFonts w:ascii="方正仿宋_GBK" w:eastAsia="方正仿宋_GBK"/>
            </w:rPr>
            <w:t>113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"_Toc66870231" </w:instrText>
          </w:r>
          <w:r>
            <w:fldChar w:fldCharType="separate"/>
          </w:r>
          <w:r>
            <w:rPr>
              <w:rStyle w:val="25"/>
              <w:rFonts w:hint="eastAsia" w:ascii="方正仿宋_GBK" w:eastAsia="方正仿宋_GBK"/>
            </w:rPr>
            <w:t>第二节  持续深化富民增收</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_Toc66870231 \h </w:instrText>
          </w:r>
          <w:r>
            <w:rPr>
              <w:rFonts w:hint="eastAsia" w:ascii="方正仿宋_GBK" w:eastAsia="方正仿宋_GBK"/>
            </w:rPr>
            <w:fldChar w:fldCharType="separate"/>
          </w:r>
          <w:r>
            <w:rPr>
              <w:rFonts w:ascii="方正仿宋_GBK" w:eastAsia="方正仿宋_GBK"/>
            </w:rPr>
            <w:t>115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"_Toc66870232" </w:instrText>
          </w:r>
          <w:r>
            <w:fldChar w:fldCharType="separate"/>
          </w:r>
          <w:r>
            <w:rPr>
              <w:rStyle w:val="25"/>
              <w:rFonts w:hint="eastAsia" w:ascii="方正仿宋_GBK" w:eastAsia="方正仿宋_GBK"/>
            </w:rPr>
            <w:t>第三节  实现更加充分更高质量就业</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_Toc66870232 \h </w:instrText>
          </w:r>
          <w:r>
            <w:rPr>
              <w:rFonts w:hint="eastAsia" w:ascii="方正仿宋_GBK" w:eastAsia="方正仿宋_GBK"/>
            </w:rPr>
            <w:fldChar w:fldCharType="separate"/>
          </w:r>
          <w:r>
            <w:rPr>
              <w:rFonts w:ascii="方正仿宋_GBK" w:eastAsia="方正仿宋_GBK"/>
            </w:rPr>
            <w:t>116</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"_Toc66870233" </w:instrText>
          </w:r>
          <w:r>
            <w:fldChar w:fldCharType="separate"/>
          </w:r>
          <w:r>
            <w:rPr>
              <w:rStyle w:val="25"/>
              <w:rFonts w:hint="eastAsia" w:ascii="方正仿宋_GBK" w:eastAsia="方正仿宋_GBK"/>
            </w:rPr>
            <w:t>第四节  加快教育高质量发展</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_Toc66870233 \h </w:instrText>
          </w:r>
          <w:r>
            <w:rPr>
              <w:rFonts w:hint="eastAsia" w:ascii="方正仿宋_GBK" w:eastAsia="方正仿宋_GBK"/>
            </w:rPr>
            <w:fldChar w:fldCharType="separate"/>
          </w:r>
          <w:r>
            <w:rPr>
              <w:rFonts w:ascii="方正仿宋_GBK" w:eastAsia="方正仿宋_GBK"/>
            </w:rPr>
            <w:t>118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"_Toc66870234" </w:instrText>
          </w:r>
          <w:r>
            <w:fldChar w:fldCharType="separate"/>
          </w:r>
          <w:r>
            <w:rPr>
              <w:rStyle w:val="25"/>
              <w:rFonts w:hint="eastAsia" w:ascii="方正仿宋_GBK" w:eastAsia="方正仿宋_GBK"/>
            </w:rPr>
            <w:t>第五节  加强健康无锡建设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_Toc66870234 \h </w:instrText>
          </w:r>
          <w:r>
            <w:rPr>
              <w:rFonts w:hint="eastAsia" w:ascii="方正仿宋_GBK" w:eastAsia="方正仿宋_GBK"/>
            </w:rPr>
            <w:fldChar w:fldCharType="separate"/>
          </w:r>
          <w:r>
            <w:rPr>
              <w:rFonts w:ascii="方正仿宋_GBK" w:eastAsia="方正仿宋_GBK"/>
            </w:rPr>
            <w:t>121</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"_Toc66870235" </w:instrText>
          </w:r>
          <w:r>
            <w:fldChar w:fldCharType="separate"/>
          </w:r>
          <w:r>
            <w:rPr>
              <w:rStyle w:val="25"/>
              <w:rFonts w:hint="eastAsia" w:ascii="方正仿宋_GBK" w:eastAsia="方正仿宋_GBK"/>
            </w:rPr>
            <w:t>第六节  积极应对人口老龄化</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_Toc66870235 \h </w:instrText>
          </w:r>
          <w:r>
            <w:rPr>
              <w:rFonts w:hint="eastAsia" w:ascii="方正仿宋_GBK" w:eastAsia="方正仿宋_GBK"/>
            </w:rPr>
            <w:fldChar w:fldCharType="separate"/>
          </w:r>
          <w:r>
            <w:rPr>
              <w:rFonts w:ascii="方正仿宋_GBK" w:eastAsia="方正仿宋_GBK"/>
            </w:rPr>
            <w:t>124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"_Toc66870236" </w:instrText>
          </w:r>
          <w:r>
            <w:fldChar w:fldCharType="separate"/>
          </w:r>
          <w:r>
            <w:rPr>
              <w:rStyle w:val="25"/>
              <w:rFonts w:hint="eastAsia" w:ascii="方正仿宋_GBK" w:eastAsia="方正仿宋_GBK"/>
            </w:rPr>
            <w:t>第七节  增强社会保障能力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_Toc66870236 \h </w:instrText>
          </w:r>
          <w:r>
            <w:rPr>
              <w:rFonts w:hint="eastAsia" w:ascii="方正仿宋_GBK" w:eastAsia="方正仿宋_GBK"/>
            </w:rPr>
            <w:fldChar w:fldCharType="separate"/>
          </w:r>
          <w:r>
            <w:rPr>
              <w:rFonts w:ascii="方正仿宋_GBK" w:eastAsia="方正仿宋_GBK"/>
            </w:rPr>
            <w:t>126</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"_Toc66870237" </w:instrText>
          </w:r>
          <w:r>
            <w:fldChar w:fldCharType="separate"/>
          </w:r>
          <w:r>
            <w:rPr>
              <w:rStyle w:val="25"/>
              <w:rFonts w:hint="eastAsia" w:ascii="方正仿宋_GBK" w:hAnsi="Times New Roman" w:cs="Times New Roman"/>
              <w:bCs/>
            </w:rPr>
            <w:t>第十五章  推进市域治理现代化建设</w:t>
          </w:r>
          <w:r>
            <w:rPr>
              <w:rFonts w:hint="eastAsia" w:ascii="方正仿宋_GBK"/>
            </w:rPr>
            <w:tab/>
          </w:r>
          <w:r>
            <w:rPr>
              <w:rFonts w:hint="eastAsia" w:ascii="方正仿宋_GBK"/>
            </w:rPr>
            <w:fldChar w:fldCharType="begin"/>
          </w:r>
          <w:r>
            <w:rPr>
              <w:rFonts w:hint="eastAsia" w:ascii="方正仿宋_GBK"/>
            </w:rPr>
            <w:instrText xml:space="preserve"> PAGEREF _Toc66870237 \h </w:instrText>
          </w:r>
          <w:r>
            <w:rPr>
              <w:rFonts w:hint="eastAsia" w:ascii="方正仿宋_GBK"/>
            </w:rPr>
            <w:fldChar w:fldCharType="separate"/>
          </w:r>
          <w:r>
            <w:rPr>
              <w:rFonts w:ascii="方正仿宋_GBK"/>
            </w:rPr>
            <w:t>129</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"_Toc66870238" </w:instrText>
          </w:r>
          <w:r>
            <w:fldChar w:fldCharType="separate"/>
          </w:r>
          <w:r>
            <w:rPr>
              <w:rStyle w:val="25"/>
              <w:rFonts w:hint="eastAsia" w:ascii="方正仿宋_GBK" w:eastAsia="方正仿宋_GBK"/>
            </w:rPr>
            <w:t>第一节  加强民主政治建设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_Toc66870238 \h </w:instrText>
          </w:r>
          <w:r>
            <w:rPr>
              <w:rFonts w:hint="eastAsia" w:ascii="方正仿宋_GBK" w:eastAsia="方正仿宋_GBK"/>
            </w:rPr>
            <w:fldChar w:fldCharType="separate"/>
          </w:r>
          <w:r>
            <w:rPr>
              <w:rFonts w:ascii="方正仿宋_GBK" w:eastAsia="方正仿宋_GBK"/>
            </w:rPr>
            <w:t>129</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"_Toc66870239" </w:instrText>
          </w:r>
          <w:r>
            <w:fldChar w:fldCharType="separate"/>
          </w:r>
          <w:r>
            <w:rPr>
              <w:rStyle w:val="25"/>
              <w:rFonts w:hint="eastAsia" w:ascii="方正仿宋_GBK" w:eastAsia="方正仿宋_GBK"/>
            </w:rPr>
            <w:t>第二节  深化法治无锡建设</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_Toc66870239 \h </w:instrText>
          </w:r>
          <w:r>
            <w:rPr>
              <w:rFonts w:hint="eastAsia" w:ascii="方正仿宋_GBK" w:eastAsia="方正仿宋_GBK"/>
            </w:rPr>
            <w:fldChar w:fldCharType="separate"/>
          </w:r>
          <w:r>
            <w:rPr>
              <w:rFonts w:ascii="方正仿宋_GBK" w:eastAsia="方正仿宋_GBK"/>
            </w:rPr>
            <w:t>130</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"_Toc66870240" </w:instrText>
          </w:r>
          <w:r>
            <w:fldChar w:fldCharType="separate"/>
          </w:r>
          <w:r>
            <w:rPr>
              <w:rStyle w:val="25"/>
              <w:rFonts w:hint="eastAsia" w:ascii="方正仿宋_GBK" w:eastAsia="方正仿宋_GBK"/>
            </w:rPr>
            <w:t>第三节  加强和创新社会治理</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_Toc66870240 \h </w:instrText>
          </w:r>
          <w:r>
            <w:rPr>
              <w:rFonts w:hint="eastAsia" w:ascii="方正仿宋_GBK" w:eastAsia="方正仿宋_GBK"/>
            </w:rPr>
            <w:fldChar w:fldCharType="separate"/>
          </w:r>
          <w:r>
            <w:rPr>
              <w:rFonts w:ascii="方正仿宋_GBK" w:eastAsia="方正仿宋_GBK"/>
            </w:rPr>
            <w:t>132</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"_Toc66870241" </w:instrText>
          </w:r>
          <w:r>
            <w:fldChar w:fldCharType="separate"/>
          </w:r>
          <w:r>
            <w:rPr>
              <w:rStyle w:val="25"/>
              <w:rFonts w:hint="eastAsia" w:ascii="方正仿宋_GBK" w:eastAsia="方正仿宋_GBK"/>
            </w:rPr>
            <w:t>第四节  切实维护城市安全</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_Toc66870241 \h </w:instrText>
          </w:r>
          <w:r>
            <w:rPr>
              <w:rFonts w:hint="eastAsia" w:ascii="方正仿宋_GBK" w:eastAsia="方正仿宋_GBK"/>
            </w:rPr>
            <w:fldChar w:fldCharType="separate"/>
          </w:r>
          <w:r>
            <w:rPr>
              <w:rFonts w:ascii="方正仿宋_GBK" w:eastAsia="方正仿宋_GBK"/>
            </w:rPr>
            <w:t>134</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"_Toc66870242" </w:instrText>
          </w:r>
          <w:r>
            <w:fldChar w:fldCharType="separate"/>
          </w:r>
          <w:r>
            <w:rPr>
              <w:rStyle w:val="25"/>
              <w:rFonts w:hint="eastAsia" w:ascii="方正仿宋_GBK" w:eastAsia="方正仿宋_GBK"/>
            </w:rPr>
            <w:t>第五节  全面加强安全生产</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_Toc66870242 \h </w:instrText>
          </w:r>
          <w:r>
            <w:rPr>
              <w:rFonts w:hint="eastAsia" w:ascii="方正仿宋_GBK" w:eastAsia="方正仿宋_GBK"/>
            </w:rPr>
            <w:fldChar w:fldCharType="separate"/>
          </w:r>
          <w:r>
            <w:rPr>
              <w:rFonts w:ascii="方正仿宋_GBK" w:eastAsia="方正仿宋_GBK"/>
            </w:rPr>
            <w:t>137</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"_Toc66870243" </w:instrText>
          </w:r>
          <w:r>
            <w:fldChar w:fldCharType="separate"/>
          </w:r>
          <w:r>
            <w:rPr>
              <w:rStyle w:val="25"/>
              <w:rFonts w:hint="eastAsia" w:ascii="方正仿宋_GBK" w:eastAsia="方正仿宋_GBK"/>
            </w:rPr>
            <w:t>第六节  提高社会公共安全保障能力</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_Toc66870243 \h </w:instrText>
          </w:r>
          <w:r>
            <w:rPr>
              <w:rFonts w:hint="eastAsia" w:ascii="方正仿宋_GBK" w:eastAsia="方正仿宋_GBK"/>
            </w:rPr>
            <w:fldChar w:fldCharType="separate"/>
          </w:r>
          <w:r>
            <w:rPr>
              <w:rFonts w:ascii="方正仿宋_GBK" w:eastAsia="方正仿宋_GBK"/>
            </w:rPr>
            <w:t>138</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"_Toc66870244" </w:instrText>
          </w:r>
          <w:r>
            <w:fldChar w:fldCharType="separate"/>
          </w:r>
          <w:r>
            <w:rPr>
              <w:rStyle w:val="25"/>
              <w:rFonts w:hint="eastAsia" w:ascii="方正仿宋_GBK" w:eastAsia="方正仿宋_GBK"/>
            </w:rPr>
            <w:t>第七节  完善应急管理体系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_Toc66870244 \h </w:instrText>
          </w:r>
          <w:r>
            <w:rPr>
              <w:rFonts w:hint="eastAsia" w:ascii="方正仿宋_GBK" w:eastAsia="方正仿宋_GBK"/>
            </w:rPr>
            <w:fldChar w:fldCharType="separate"/>
          </w:r>
          <w:r>
            <w:rPr>
              <w:rFonts w:ascii="方正仿宋_GBK" w:eastAsia="方正仿宋_GBK"/>
            </w:rPr>
            <w:t>140</w:t>
          </w:r>
          <w:r>
            <w:rPr>
              <w:rFonts w:hint="eastAsia" w:ascii="方正仿宋_GBK" w:eastAsia="方正仿宋_GBK"/>
            </w:rPr>
            <w:fldChar w:fldCharType="end"/>
          </w:r>
          <w:r>
            <w:rPr>
              <w:rFonts w:hint="eastAsia" w:ascii="方正仿宋_GBK" w:eastAsia="方正仿宋_GBK"/>
            </w:rPr>
            <w:fldChar w:fldCharType="end"/>
          </w:r>
        </w:p>
        <w:p>
          <w:pPr>
            <w:pStyle w:val="15"/>
            <w:rPr>
              <w:rFonts w:ascii="方正仿宋_GBK"/>
              <w:sz w:val="21"/>
            </w:rPr>
          </w:pPr>
          <w:r>
            <w:fldChar w:fldCharType="begin"/>
          </w:r>
          <w:r>
            <w:instrText xml:space="preserve"> HYPERLINK \l "_Toc66870245" </w:instrText>
          </w:r>
          <w:r>
            <w:fldChar w:fldCharType="separate"/>
          </w:r>
          <w:r>
            <w:rPr>
              <w:rStyle w:val="25"/>
              <w:rFonts w:hint="eastAsia" w:ascii="方正仿宋_GBK" w:hAnsi="Times New Roman" w:cs="Times New Roman"/>
              <w:bCs/>
              <w:kern w:val="44"/>
            </w:rPr>
            <w:t>第三篇  实施保障</w:t>
          </w:r>
          <w:r>
            <w:rPr>
              <w:rFonts w:hint="eastAsia" w:ascii="方正仿宋_GBK"/>
            </w:rPr>
            <w:tab/>
          </w:r>
          <w:r>
            <w:rPr>
              <w:rFonts w:hint="eastAsia" w:ascii="方正仿宋_GBK"/>
            </w:rPr>
            <w:fldChar w:fldCharType="begin"/>
          </w:r>
          <w:r>
            <w:rPr>
              <w:rFonts w:hint="eastAsia" w:ascii="方正仿宋_GBK"/>
            </w:rPr>
            <w:instrText xml:space="preserve"> PAGEREF _Toc66870245 \h </w:instrText>
          </w:r>
          <w:r>
            <w:rPr>
              <w:rFonts w:hint="eastAsia" w:ascii="方正仿宋_GBK"/>
            </w:rPr>
            <w:fldChar w:fldCharType="separate"/>
          </w:r>
          <w:r>
            <w:rPr>
              <w:rFonts w:ascii="方正仿宋_GBK"/>
            </w:rPr>
            <w:t>143</w:t>
          </w:r>
          <w:r>
            <w:rPr>
              <w:rFonts w:hint="eastAsia" w:ascii="方正仿宋_GBK"/>
            </w:rPr>
            <w:fldChar w:fldCharType="end"/>
          </w:r>
          <w:r>
            <w:rPr>
              <w:rFonts w:hint="eastAsia" w:ascii="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"_Toc66870246" </w:instrText>
          </w:r>
          <w:r>
            <w:fldChar w:fldCharType="separate"/>
          </w:r>
          <w:r>
            <w:rPr>
              <w:rStyle w:val="25"/>
              <w:rFonts w:hint="eastAsia" w:ascii="方正仿宋_GBK" w:hAnsi="Times New Roman" w:cs="Times New Roman"/>
              <w:bCs/>
            </w:rPr>
            <w:t>第十六章  完善规划组织实施体系</w:t>
          </w:r>
          <w:r>
            <w:rPr>
              <w:rFonts w:hint="eastAsia" w:ascii="方正仿宋_GBK"/>
            </w:rPr>
            <w:tab/>
          </w:r>
          <w:r>
            <w:rPr>
              <w:rFonts w:hint="eastAsia" w:ascii="方正仿宋_GBK"/>
            </w:rPr>
            <w:fldChar w:fldCharType="begin"/>
          </w:r>
          <w:r>
            <w:rPr>
              <w:rFonts w:hint="eastAsia" w:ascii="方正仿宋_GBK"/>
            </w:rPr>
            <w:instrText xml:space="preserve"> PAGEREF _Toc66870246 \h </w:instrText>
          </w:r>
          <w:r>
            <w:rPr>
              <w:rFonts w:hint="eastAsia" w:ascii="方正仿宋_GBK"/>
            </w:rPr>
            <w:fldChar w:fldCharType="separate"/>
          </w:r>
          <w:r>
            <w:rPr>
              <w:rFonts w:ascii="方正仿宋_GBK"/>
            </w:rPr>
            <w:t>143</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"_Toc66870247" </w:instrText>
          </w:r>
          <w:r>
            <w:fldChar w:fldCharType="separate"/>
          </w:r>
          <w:r>
            <w:rPr>
              <w:rStyle w:val="25"/>
              <w:rFonts w:hint="eastAsia" w:ascii="方正仿宋_GBK" w:eastAsia="方正仿宋_GBK"/>
            </w:rPr>
            <w:t>第一节  加强党对规划实施的全面领导</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_Toc66870247 \h </w:instrText>
          </w:r>
          <w:r>
            <w:rPr>
              <w:rFonts w:hint="eastAsia" w:ascii="方正仿宋_GBK" w:eastAsia="方正仿宋_GBK"/>
            </w:rPr>
            <w:fldChar w:fldCharType="separate"/>
          </w:r>
          <w:r>
            <w:rPr>
              <w:rFonts w:ascii="方正仿宋_GBK" w:eastAsia="方正仿宋_GBK"/>
            </w:rPr>
            <w:t>143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"_Toc66870248" </w:instrText>
          </w:r>
          <w:r>
            <w:fldChar w:fldCharType="separate"/>
          </w:r>
          <w:r>
            <w:rPr>
              <w:rStyle w:val="25"/>
              <w:rFonts w:hint="eastAsia" w:ascii="方正仿宋_GBK" w:eastAsia="方正仿宋_GBK"/>
            </w:rPr>
            <w:t>第二节  完善统一规划体系</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_Toc66870248 \h </w:instrText>
          </w:r>
          <w:r>
            <w:rPr>
              <w:rFonts w:hint="eastAsia" w:ascii="方正仿宋_GBK" w:eastAsia="方正仿宋_GBK"/>
            </w:rPr>
            <w:fldChar w:fldCharType="separate"/>
          </w:r>
          <w:r>
            <w:rPr>
              <w:rFonts w:ascii="方正仿宋_GBK" w:eastAsia="方正仿宋_GBK"/>
            </w:rPr>
            <w:t>143</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"_Toc66870249" </w:instrText>
          </w:r>
          <w:r>
            <w:fldChar w:fldCharType="separate"/>
          </w:r>
          <w:r>
            <w:rPr>
              <w:rStyle w:val="25"/>
              <w:rFonts w:hint="eastAsia" w:ascii="方正仿宋_GBK" w:eastAsia="方正仿宋_GBK"/>
            </w:rPr>
            <w:t>第三节  健全规划衔接协调机制</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_Toc66870249 \h </w:instrText>
          </w:r>
          <w:r>
            <w:rPr>
              <w:rFonts w:hint="eastAsia" w:ascii="方正仿宋_GBK" w:eastAsia="方正仿宋_GBK"/>
            </w:rPr>
            <w:fldChar w:fldCharType="separate"/>
          </w:r>
          <w:r>
            <w:rPr>
              <w:rFonts w:ascii="方正仿宋_GBK" w:eastAsia="方正仿宋_GBK"/>
            </w:rPr>
            <w:t>144</w:t>
          </w:r>
          <w:r>
            <w:rPr>
              <w:rFonts w:hint="eastAsia" w:ascii="方正仿宋_GBK" w:eastAsia="方正仿宋_GBK"/>
            </w:rPr>
            <w:fldChar w:fldCharType="end"/>
          </w:r>
          <w:r>
            <w:rPr>
              <w:rFonts w:hint="eastAsia" w:ascii="方正仿宋_GBK" w:eastAsia="方正仿宋_GBK"/>
            </w:rPr>
            <w:fldChar w:fldCharType="end"/>
          </w:r>
        </w:p>
        <w:p>
          <w:pPr>
            <w:pStyle w:val="19"/>
            <w:tabs>
              <w:tab w:val="right" w:leader="dot" w:pos="8834"/>
            </w:tabs>
            <w:ind w:left="632"/>
            <w:rPr>
              <w:rFonts w:ascii="方正仿宋_GBK"/>
              <w:sz w:val="21"/>
            </w:rPr>
          </w:pPr>
          <w:r>
            <w:fldChar w:fldCharType="begin"/>
          </w:r>
          <w:r>
            <w:instrText xml:space="preserve"> HYPERLINK \l "_Toc66870250" </w:instrText>
          </w:r>
          <w:r>
            <w:fldChar w:fldCharType="separate"/>
          </w:r>
          <w:r>
            <w:rPr>
              <w:rStyle w:val="25"/>
              <w:rFonts w:hint="eastAsia" w:ascii="方正仿宋_GBK" w:hAnsi="Times New Roman" w:cs="Times New Roman"/>
              <w:bCs/>
            </w:rPr>
            <w:t>第十七章  创新规划实施机制</w:t>
          </w:r>
          <w:r>
            <w:rPr>
              <w:rFonts w:hint="eastAsia" w:ascii="方正仿宋_GBK"/>
            </w:rPr>
            <w:tab/>
          </w:r>
          <w:r>
            <w:rPr>
              <w:rFonts w:hint="eastAsia" w:ascii="方正仿宋_GBK"/>
            </w:rPr>
            <w:fldChar w:fldCharType="begin"/>
          </w:r>
          <w:r>
            <w:rPr>
              <w:rFonts w:hint="eastAsia" w:ascii="方正仿宋_GBK"/>
            </w:rPr>
            <w:instrText xml:space="preserve"> PAGEREF _Toc66870250 \h </w:instrText>
          </w:r>
          <w:r>
            <w:rPr>
              <w:rFonts w:hint="eastAsia" w:ascii="方正仿宋_GBK"/>
            </w:rPr>
            <w:fldChar w:fldCharType="separate"/>
          </w:r>
          <w:r>
            <w:rPr>
              <w:rFonts w:ascii="方正仿宋_GBK"/>
            </w:rPr>
            <w:t>145</w:t>
          </w:r>
          <w:r>
            <w:rPr>
              <w:rFonts w:hint="eastAsia" w:ascii="方正仿宋_GBK"/>
            </w:rPr>
            <w:fldChar w:fldCharType="end"/>
          </w:r>
          <w:r>
            <w:rPr>
              <w:rFonts w:hint="eastAsia" w:ascii="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"_Toc66870251" </w:instrText>
          </w:r>
          <w:r>
            <w:fldChar w:fldCharType="separate"/>
          </w:r>
          <w:r>
            <w:rPr>
              <w:rStyle w:val="25"/>
              <w:rFonts w:hint="eastAsia" w:ascii="方正仿宋_GBK" w:eastAsia="方正仿宋_GBK"/>
            </w:rPr>
            <w:t>第一节  加强评估考核监督</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_Toc66870251 \h </w:instrText>
          </w:r>
          <w:r>
            <w:rPr>
              <w:rFonts w:hint="eastAsia" w:ascii="方正仿宋_GBK" w:eastAsia="方正仿宋_GBK"/>
            </w:rPr>
            <w:fldChar w:fldCharType="separate"/>
          </w:r>
          <w:r>
            <w:rPr>
              <w:rFonts w:ascii="方正仿宋_GBK" w:eastAsia="方正仿宋_GBK"/>
            </w:rPr>
            <w:t>145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"_Toc66870252" </w:instrText>
          </w:r>
          <w:r>
            <w:fldChar w:fldCharType="separate"/>
          </w:r>
          <w:r>
            <w:rPr>
              <w:rStyle w:val="25"/>
              <w:rFonts w:hint="eastAsia" w:ascii="方正仿宋_GBK" w:eastAsia="方正仿宋_GBK"/>
            </w:rPr>
            <w:t>第二节  推进政策协同保障</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_Toc66870252 \h </w:instrText>
          </w:r>
          <w:r>
            <w:rPr>
              <w:rFonts w:hint="eastAsia" w:ascii="方正仿宋_GBK" w:eastAsia="方正仿宋_GBK"/>
            </w:rPr>
            <w:fldChar w:fldCharType="separate"/>
          </w:r>
          <w:r>
            <w:rPr>
              <w:rFonts w:ascii="方正仿宋_GBK" w:eastAsia="方正仿宋_GBK"/>
            </w:rPr>
            <w:t>145</w:t>
          </w:r>
          <w:r>
            <w:rPr>
              <w:rFonts w:hint="eastAsia" w:ascii="方正仿宋_GBK" w:eastAsia="方正仿宋_GBK"/>
            </w:rPr>
            <w:fldChar w:fldCharType="end"/>
          </w:r>
          <w:r>
            <w:rPr>
              <w:rFonts w:hint="eastAsia" w:ascii="方正仿宋_GBK" w:eastAsia="方正仿宋_GBK"/>
            </w:rPr>
            <w:fldChar w:fldCharType="end"/>
          </w:r>
        </w:p>
        <w:p>
          <w:pPr>
            <w:pStyle w:val="9"/>
            <w:rPr>
              <w:rFonts w:ascii="方正仿宋_GBK" w:eastAsia="方正仿宋_GBK" w:hAnsiTheme="minorHAnsi" w:cstheme="minorBidi"/>
              <w:bCs w:val="0"/>
              <w:sz w:val="21"/>
            </w:rPr>
          </w:pPr>
          <w:r>
            <w:fldChar w:fldCharType="begin"/>
          </w:r>
          <w:r>
            <w:instrText xml:space="preserve"> HYPERLINK \l "_Toc66870253" </w:instrText>
          </w:r>
          <w:r>
            <w:fldChar w:fldCharType="separate"/>
          </w:r>
          <w:r>
            <w:rPr>
              <w:rStyle w:val="25"/>
              <w:rFonts w:hint="eastAsia" w:ascii="方正仿宋_GBK" w:eastAsia="方正仿宋_GBK"/>
            </w:rPr>
            <w:t>第三节  广泛凝聚社会力量</w:t>
          </w:r>
          <w:r>
            <w:rPr>
              <w:rFonts w:hint="eastAsia" w:ascii="方正仿宋_GBK" w:eastAsia="方正仿宋_GBK"/>
            </w:rPr>
            <w:tab/>
          </w:r>
          <w:r>
            <w:rPr>
              <w:rFonts w:hint="eastAsia" w:ascii="方正仿宋_GBK" w:eastAsia="方正仿宋_GBK"/>
            </w:rPr>
            <w:fldChar w:fldCharType="begin"/>
          </w:r>
          <w:r>
            <w:rPr>
              <w:rFonts w:hint="eastAsia" w:ascii="方正仿宋_GBK" w:eastAsia="方正仿宋_GBK"/>
            </w:rPr>
            <w:instrText xml:space="preserve"> PAGEREF _Toc66870253 \h </w:instrText>
          </w:r>
          <w:r>
            <w:rPr>
              <w:rFonts w:hint="eastAsia" w:ascii="方正仿宋_GBK" w:eastAsia="方正仿宋_GBK"/>
            </w:rPr>
            <w:fldChar w:fldCharType="separate"/>
          </w:r>
          <w:r>
            <w:rPr>
              <w:rFonts w:ascii="方正仿宋_GBK" w:eastAsia="方正仿宋_GBK"/>
            </w:rPr>
            <w:t>146</w:t>
          </w:r>
          <w:r>
            <w:rPr>
              <w:rFonts w:hint="eastAsia" w:ascii="方正仿宋_GBK" w:eastAsia="方正仿宋_GBK"/>
            </w:rPr>
            <w:fldChar w:fldCharType="end"/>
          </w:r>
          <w:r>
            <w:rPr>
              <w:rFonts w:hint="eastAsia" w:ascii="方正仿宋_GBK" w:eastAsia="方正仿宋_GBK"/>
            </w:rPr>
            <w:fldChar w:fldCharType="end"/>
          </w:r>
        </w:p>
        <w:p>
          <w:pPr>
            <w:pStyle w:val="15"/>
            <w:rPr>
              <w:rFonts w:ascii="方正仿宋_GBK"/>
              <w:sz w:val="21"/>
            </w:rPr>
          </w:pPr>
          <w:r>
            <w:fldChar w:fldCharType="begin"/>
          </w:r>
          <w:r>
            <w:instrText xml:space="preserve"> HYPERLINK \l "_Toc66870254" </w:instrText>
          </w:r>
          <w:r>
            <w:fldChar w:fldCharType="separate"/>
          </w:r>
          <w:r>
            <w:rPr>
              <w:rStyle w:val="25"/>
              <w:rFonts w:hint="eastAsia" w:ascii="方正仿宋_GBK" w:hAnsi="Times New Roman" w:cs="Times New Roman"/>
            </w:rPr>
            <w:t>附图：</w:t>
          </w:r>
          <w:r>
            <w:rPr>
              <w:rFonts w:hint="eastAsia" w:ascii="方正仿宋_GBK"/>
            </w:rPr>
            <w:tab/>
          </w:r>
          <w:r>
            <w:rPr>
              <w:rFonts w:hint="eastAsia" w:ascii="方正仿宋_GBK"/>
            </w:rPr>
            <w:fldChar w:fldCharType="begin"/>
          </w:r>
          <w:r>
            <w:rPr>
              <w:rFonts w:hint="eastAsia" w:ascii="方正仿宋_GBK"/>
            </w:rPr>
            <w:instrText xml:space="preserve"> PAGEREF _Toc66870254 \h </w:instrText>
          </w:r>
          <w:r>
            <w:rPr>
              <w:rFonts w:hint="eastAsia" w:ascii="方正仿宋_GBK"/>
            </w:rPr>
            <w:fldChar w:fldCharType="separate"/>
          </w:r>
          <w:r>
            <w:rPr>
              <w:rFonts w:ascii="方正仿宋_GBK"/>
            </w:rPr>
            <w:t>147</w:t>
          </w:r>
          <w:r>
            <w:rPr>
              <w:rFonts w:hint="eastAsia" w:ascii="方正仿宋_GBK"/>
            </w:rPr>
            <w:fldChar w:fldCharType="end"/>
          </w:r>
          <w:r>
            <w:rPr>
              <w:rFonts w:hint="eastAsia" w:ascii="方正仿宋_GBK"/>
            </w:rPr>
            <w:fldChar w:fldCharType="end"/>
          </w:r>
        </w:p>
        <w:p>
          <w:pPr>
            <w:ind w:firstLine="634"/>
            <w:rPr>
              <w:rFonts w:ascii="Times New Roman" w:hAnsi="Times New Roman" w:cs="Times New Roman"/>
              <w:color w:val="000000" w:themeColor="text1"/>
            </w:rPr>
          </w:pPr>
          <w:r>
            <w:rPr>
              <w:rFonts w:hint="eastAsia" w:hAnsi="Times New Roman" w:cs="Times New Roman"/>
              <w:b/>
              <w:bCs/>
              <w:color w:val="000000" w:themeColor="text1"/>
              <w:lang w:val="zh-CN"/>
            </w:rPr>
            <w:fldChar w:fldCharType="end"/>
          </w:r>
        </w:p>
      </w:sdtContent>
    </w:sdt>
    <w:p>
      <w:pPr>
        <w:widowControl/>
        <w:ind w:firstLine="0" w:firstLineChars="0"/>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rPr>
      </w:pPr>
    </w:p>
    <w:p>
      <w:pPr>
        <w:tabs>
          <w:tab w:val="left" w:pos="1580"/>
        </w:tabs>
        <w:rPr>
          <w:rFonts w:ascii="Times New Roman" w:hAnsi="Times New Roman" w:cs="Times New Roman"/>
        </w:rPr>
      </w:pPr>
      <w:r>
        <w:rPr>
          <w:rFonts w:ascii="Times New Roman" w:hAnsi="Times New Roman" w:cs="Times New Roman"/>
        </w:rPr>
        <w:tab/>
      </w:r>
    </w:p>
    <w:p>
      <w:pPr>
        <w:rPr>
          <w:rFonts w:ascii="Times New Roman" w:hAnsi="Times New Roman" w:cs="Times New Roman"/>
        </w:rPr>
      </w:pPr>
    </w:p>
    <w:p>
      <w:pPr>
        <w:rPr>
          <w:rFonts w:ascii="Times New Roman" w:hAnsi="Times New Roman" w:cs="Times New Roman"/>
        </w:rPr>
        <w:sectPr>
          <w:footerReference r:id="rId11" w:type="default"/>
          <w:footerReference r:id="rId12" w:type="even"/>
          <w:type w:val="oddPage"/>
          <w:pgSz w:w="11906" w:h="16838"/>
          <w:pgMar w:top="2098" w:right="1474" w:bottom="1985" w:left="1588" w:header="851" w:footer="1310" w:gutter="0"/>
          <w:pgNumType w:start="1"/>
          <w:cols w:space="425" w:num="1"/>
          <w:docGrid w:type="linesAndChars" w:linePitch="579" w:charSpace="-849"/>
        </w:sectPr>
      </w:pPr>
    </w:p>
    <w:p>
      <w:pPr>
        <w:ind w:firstLine="640"/>
        <w:rPr>
          <w:rFonts w:ascii="Times New Roman" w:hAnsi="Times New Roman" w:cs="Times New Roman"/>
          <w:color w:val="000000" w:themeColor="text1"/>
        </w:rPr>
      </w:pPr>
    </w:p>
    <w:p>
      <w:pPr>
        <w:keepNext/>
        <w:keepLines/>
        <w:ind w:firstLine="0" w:firstLineChars="0"/>
        <w:jc w:val="center"/>
        <w:outlineLvl w:val="0"/>
        <w:rPr>
          <w:rFonts w:ascii="Times New Roman" w:hAnsi="Times New Roman" w:eastAsia="方正小标宋_GBK" w:cs="Times New Roman"/>
          <w:bCs/>
          <w:color w:val="000000" w:themeColor="text1"/>
          <w:kern w:val="44"/>
          <w:szCs w:val="44"/>
        </w:rPr>
      </w:pPr>
      <w:bookmarkStart w:id="6" w:name="_Toc66870163"/>
      <w:bookmarkStart w:id="7" w:name="_Toc55236619"/>
      <w:r>
        <w:rPr>
          <w:rFonts w:ascii="Times New Roman" w:hAnsi="Times New Roman" w:eastAsia="方正小标宋_GBK" w:cs="Times New Roman"/>
          <w:bCs/>
          <w:color w:val="000000" w:themeColor="text1"/>
          <w:kern w:val="44"/>
          <w:szCs w:val="44"/>
        </w:rPr>
        <w:t>第一篇  发展方位</w:t>
      </w:r>
      <w:bookmarkEnd w:id="6"/>
      <w:bookmarkEnd w:id="7"/>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8" w:name="_Toc66870164"/>
      <w:bookmarkStart w:id="9" w:name="_Toc55236620"/>
      <w:r>
        <w:rPr>
          <w:rFonts w:ascii="Times New Roman" w:hAnsi="Times New Roman" w:eastAsia="方正黑体_GBK" w:cs="Times New Roman"/>
          <w:bCs/>
          <w:color w:val="000000" w:themeColor="text1"/>
          <w:szCs w:val="32"/>
        </w:rPr>
        <w:t>第一章  发展基础</w:t>
      </w:r>
      <w:bookmarkEnd w:id="8"/>
      <w:bookmarkEnd w:id="9"/>
    </w:p>
    <w:p>
      <w:pPr>
        <w:ind w:firstLine="640"/>
        <w:rPr>
          <w:rFonts w:hAnsi="Times New Roman" w:cs="Times New Roman"/>
          <w:color w:val="000000" w:themeColor="text1"/>
          <w:szCs w:val="22"/>
        </w:rPr>
      </w:pPr>
      <w:r>
        <w:rPr>
          <w:rFonts w:hint="eastAsia" w:hAnsi="Times New Roman" w:cs="Times New Roman"/>
          <w:color w:val="000000" w:themeColor="text1"/>
          <w:szCs w:val="22"/>
        </w:rPr>
        <w:t>“十三五”时期是无锡高水平全面建成小康社会的决胜阶段，</w:t>
      </w:r>
      <w:r>
        <w:rPr>
          <w:rFonts w:hint="eastAsia" w:hAnsi="Times New Roman" w:cs="Times New Roman"/>
          <w:szCs w:val="22"/>
        </w:rPr>
        <w:t>也</w:t>
      </w:r>
      <w:r>
        <w:rPr>
          <w:rFonts w:hint="eastAsia" w:hAnsi="Times New Roman" w:cs="Times New Roman"/>
          <w:color w:val="000000" w:themeColor="text1"/>
          <w:szCs w:val="22"/>
        </w:rPr>
        <w:t>是无锡高</w:t>
      </w:r>
      <w:r>
        <w:rPr>
          <w:rFonts w:hint="eastAsia" w:hAnsi="Times New Roman" w:cs="Times New Roman"/>
          <w:color w:val="000000" w:themeColor="text1"/>
          <w:szCs w:val="32"/>
        </w:rPr>
        <w:t>质量发展取得显著成效的重要时期。面对错综复杂的外部环境和艰巨繁重的改革发展任务，全市上下坚持以习近平新时代中国特色社会主义思想为指导，深入贯彻习近平总书记关于江苏工作系列重要讲话指示精神，全面落实党中央、国务院和省委、省政府的决策部署，紧扣“强富美高”总目标，聚焦当好全省高质量发展领跑者，坚持稳中求进工作总基调，认真践行新发展理念，坚定实施六大发展战略，坚决打好“三大攻坚战”，有力有效推动国家重大战略落地落实，奋力推动“六个高质量”发展走在前列，坚决夺取疫情防控和经济社会发展“双胜利”，顺利完成“十三五”规划确定的主要目标任务，“强富美高”新无锡建设取得重大阶段性成果，高水平全面建成小康社会取得决定性成就，为全面开启社会主义现代化新征程奠定坚实基础。</w:t>
      </w:r>
    </w:p>
    <w:p>
      <w:pPr>
        <w:ind w:firstLine="640"/>
        <w:rPr>
          <w:rFonts w:hAnsi="Times New Roman" w:cs="Times New Roman"/>
          <w:color w:val="000000" w:themeColor="text1"/>
          <w:szCs w:val="22"/>
        </w:rPr>
      </w:pPr>
      <w:r>
        <w:rPr>
          <w:rFonts w:hint="eastAsia" w:hAnsi="Times New Roman" w:cs="Times New Roman"/>
          <w:color w:val="000000" w:themeColor="text1"/>
          <w:szCs w:val="22"/>
        </w:rPr>
        <w:t>综合经济实力实现新跨越。全市地区生产总值迈上万亿元新台阶，到“十</w:t>
      </w:r>
      <w:r>
        <w:rPr>
          <w:rFonts w:hint="eastAsia" w:hAnsi="Times New Roman" w:cs="Times New Roman"/>
          <w:szCs w:val="22"/>
        </w:rPr>
        <w:t>三五”期末达</w:t>
      </w:r>
      <w:r>
        <w:rPr>
          <w:rFonts w:hAnsi="Times New Roman" w:cs="Times New Roman"/>
          <w:szCs w:val="22"/>
        </w:rPr>
        <w:t>到</w:t>
      </w:r>
      <w:r>
        <w:rPr>
          <w:rFonts w:hint="eastAsia" w:hAnsi="Times New Roman" w:cs="Times New Roman"/>
          <w:szCs w:val="22"/>
        </w:rPr>
        <w:t>123</w:t>
      </w:r>
      <w:r>
        <w:rPr>
          <w:rFonts w:hAnsi="Times New Roman" w:cs="Times New Roman"/>
          <w:szCs w:val="22"/>
        </w:rPr>
        <w:t>70.48</w:t>
      </w:r>
      <w:r>
        <w:rPr>
          <w:rFonts w:hint="eastAsia" w:hAnsi="Times New Roman" w:cs="Times New Roman"/>
          <w:szCs w:val="22"/>
        </w:rPr>
        <w:t>亿</w:t>
      </w:r>
      <w:r>
        <w:rPr>
          <w:rFonts w:hAnsi="Times New Roman" w:cs="Times New Roman"/>
          <w:szCs w:val="22"/>
        </w:rPr>
        <w:t>元</w:t>
      </w:r>
      <w:r>
        <w:rPr>
          <w:rFonts w:hint="eastAsia" w:hAnsi="Times New Roman" w:cs="Times New Roman"/>
          <w:szCs w:val="22"/>
        </w:rPr>
        <w:t>，人</w:t>
      </w:r>
      <w:r>
        <w:rPr>
          <w:rFonts w:hAnsi="Times New Roman" w:cs="Times New Roman"/>
          <w:szCs w:val="22"/>
        </w:rPr>
        <w:t>均</w:t>
      </w:r>
      <w:r>
        <w:rPr>
          <w:rFonts w:hint="eastAsia" w:hAnsi="Times New Roman" w:cs="Times New Roman"/>
          <w:szCs w:val="22"/>
        </w:rPr>
        <w:t>地区生产</w:t>
      </w:r>
      <w:r>
        <w:rPr>
          <w:rFonts w:hAnsi="Times New Roman" w:cs="Times New Roman"/>
          <w:szCs w:val="22"/>
        </w:rPr>
        <w:t>总值</w:t>
      </w:r>
      <w:r>
        <w:rPr>
          <w:rFonts w:hint="eastAsia" w:hAnsi="Times New Roman" w:cs="Times New Roman"/>
          <w:szCs w:val="22"/>
        </w:rPr>
        <w:t>保持</w:t>
      </w:r>
      <w:r>
        <w:rPr>
          <w:rFonts w:hAnsi="Times New Roman" w:cs="Times New Roman"/>
          <w:szCs w:val="22"/>
        </w:rPr>
        <w:t>全国城市前列</w:t>
      </w:r>
      <w:r>
        <w:rPr>
          <w:rFonts w:hint="eastAsia" w:hAnsi="Times New Roman" w:cs="Times New Roman"/>
          <w:szCs w:val="22"/>
        </w:rPr>
        <w:t>。一般公共预算收入达到1075.7</w:t>
      </w:r>
      <w:r>
        <w:rPr>
          <w:rFonts w:hAnsi="Times New Roman" w:cs="Times New Roman"/>
          <w:szCs w:val="22"/>
        </w:rPr>
        <w:t>0</w:t>
      </w:r>
      <w:r>
        <w:rPr>
          <w:rFonts w:hint="eastAsia" w:hAnsi="Times New Roman" w:cs="Times New Roman"/>
          <w:szCs w:val="22"/>
        </w:rPr>
        <w:t>亿元，年均增长5.3%。</w:t>
      </w:r>
      <w:r>
        <w:rPr>
          <w:rFonts w:hint="eastAsia" w:hAnsi="Times New Roman" w:cs="Times New Roman"/>
          <w:color w:val="000000" w:themeColor="text1"/>
          <w:szCs w:val="22"/>
        </w:rPr>
        <w:t>消费对经济增长贡献率提升</w:t>
      </w:r>
      <w:r>
        <w:rPr>
          <w:rFonts w:hint="eastAsia" w:hAnsi="Times New Roman" w:cs="Times New Roman"/>
          <w:szCs w:val="22"/>
        </w:rPr>
        <w:t>至</w:t>
      </w:r>
      <w:r>
        <w:rPr>
          <w:rFonts w:hint="eastAsia" w:hAnsi="Times New Roman" w:cs="Times New Roman"/>
          <w:color w:val="000000" w:themeColor="text1"/>
          <w:szCs w:val="22"/>
        </w:rPr>
        <w:t>59.5%、比“十二五”期末提高8个百分点。</w:t>
      </w:r>
      <w:r>
        <w:rPr>
          <w:rFonts w:hint="eastAsia" w:hAnsi="Times New Roman" w:cs="Times New Roman"/>
          <w:szCs w:val="22"/>
        </w:rPr>
        <w:t>持续加大招商引资力度，“十三五”时期</w:t>
      </w:r>
      <w:r>
        <w:rPr>
          <w:rFonts w:hint="eastAsia" w:hAnsi="Times New Roman" w:cs="Times New Roman"/>
          <w:color w:val="000000" w:themeColor="text1"/>
          <w:szCs w:val="22"/>
        </w:rPr>
        <w:t>引进</w:t>
      </w:r>
      <w:r>
        <w:rPr>
          <w:rFonts w:hint="eastAsia" w:hAnsi="Times New Roman" w:cs="Times New Roman"/>
          <w:szCs w:val="22"/>
        </w:rPr>
        <w:t>实施的</w:t>
      </w:r>
      <w:r>
        <w:rPr>
          <w:rFonts w:hint="eastAsia" w:hAnsi="Times New Roman" w:cs="Times New Roman"/>
          <w:color w:val="000000" w:themeColor="text1"/>
          <w:szCs w:val="22"/>
        </w:rPr>
        <w:t>重大项目数量和质量</w:t>
      </w:r>
      <w:r>
        <w:rPr>
          <w:rFonts w:hint="eastAsia" w:hAnsi="Times New Roman" w:cs="Times New Roman"/>
          <w:szCs w:val="22"/>
        </w:rPr>
        <w:t>均</w:t>
      </w:r>
      <w:r>
        <w:rPr>
          <w:rFonts w:hint="eastAsia" w:hAnsi="Times New Roman" w:cs="Times New Roman"/>
          <w:color w:val="000000" w:themeColor="text1"/>
          <w:szCs w:val="22"/>
        </w:rPr>
        <w:t>创历史最好水平。进出</w:t>
      </w:r>
      <w:r>
        <w:rPr>
          <w:rFonts w:hint="eastAsia" w:hAnsi="Times New Roman" w:cs="Times New Roman"/>
          <w:szCs w:val="22"/>
        </w:rPr>
        <w:t>口总额达到</w:t>
      </w:r>
      <w:r>
        <w:rPr>
          <w:rFonts w:hAnsi="Times New Roman" w:cs="Times New Roman"/>
          <w:szCs w:val="22"/>
        </w:rPr>
        <w:t>877.85</w:t>
      </w:r>
      <w:r>
        <w:rPr>
          <w:rFonts w:hint="eastAsia" w:hAnsi="Times New Roman" w:cs="Times New Roman"/>
          <w:szCs w:val="22"/>
        </w:rPr>
        <w:t>亿美元，位</w:t>
      </w:r>
      <w:r>
        <w:rPr>
          <w:rFonts w:hint="eastAsia" w:hAnsi="Times New Roman" w:cs="Times New Roman"/>
          <w:color w:val="000000" w:themeColor="text1"/>
          <w:szCs w:val="22"/>
        </w:rPr>
        <w:t>列全省第二。金融、房地产、政府性债务等重点经济领域风险得到有效控制，牢牢守住不发生区域性系统性风险的底线。</w:t>
      </w:r>
    </w:p>
    <w:p>
      <w:pPr>
        <w:ind w:firstLine="640"/>
        <w:rPr>
          <w:rFonts w:hAnsi="Times New Roman" w:cs="Times New Roman"/>
          <w:color w:val="000000" w:themeColor="text1"/>
          <w:szCs w:val="22"/>
        </w:rPr>
      </w:pPr>
      <w:r>
        <w:rPr>
          <w:rFonts w:hint="eastAsia" w:hAnsi="Times New Roman" w:cs="Times New Roman"/>
          <w:color w:val="000000" w:themeColor="text1"/>
          <w:szCs w:val="22"/>
        </w:rPr>
        <w:t>产业强市取得显著成效。积极推进现代产业新高地建设，产业结构持续优化，三次产业结构从“十二五”期末的1.4:47.5:51.1调整为“十三五”期末的1.0:4</w:t>
      </w:r>
      <w:r>
        <w:rPr>
          <w:rFonts w:hAnsi="Times New Roman" w:cs="Times New Roman"/>
          <w:color w:val="000000" w:themeColor="text1"/>
          <w:szCs w:val="22"/>
        </w:rPr>
        <w:t>6</w:t>
      </w:r>
      <w:r>
        <w:rPr>
          <w:rFonts w:hint="eastAsia" w:hAnsi="Times New Roman" w:cs="Times New Roman"/>
          <w:color w:val="000000" w:themeColor="text1"/>
          <w:szCs w:val="22"/>
        </w:rPr>
        <w:t>.</w:t>
      </w:r>
      <w:r>
        <w:rPr>
          <w:rFonts w:hAnsi="Times New Roman" w:cs="Times New Roman"/>
          <w:color w:val="000000" w:themeColor="text1"/>
          <w:szCs w:val="22"/>
        </w:rPr>
        <w:t>5</w:t>
      </w:r>
      <w:r>
        <w:rPr>
          <w:rFonts w:hint="eastAsia" w:hAnsi="Times New Roman" w:cs="Times New Roman"/>
          <w:color w:val="000000" w:themeColor="text1"/>
          <w:szCs w:val="22"/>
        </w:rPr>
        <w:t>:52.</w:t>
      </w:r>
      <w:r>
        <w:rPr>
          <w:rFonts w:hAnsi="Times New Roman" w:cs="Times New Roman"/>
          <w:color w:val="000000" w:themeColor="text1"/>
          <w:szCs w:val="22"/>
        </w:rPr>
        <w:t>5</w:t>
      </w:r>
      <w:r>
        <w:rPr>
          <w:rFonts w:hint="eastAsia" w:hAnsi="Times New Roman" w:cs="Times New Roman"/>
          <w:color w:val="000000" w:themeColor="text1"/>
          <w:szCs w:val="22"/>
        </w:rPr>
        <w:t>。实体经济蓄力发展，先进制造业发展势头良好，物联网、集成电路、生物医药等重点产业</w:t>
      </w:r>
      <w:r>
        <w:rPr>
          <w:rFonts w:hint="eastAsia" w:hAnsi="Times New Roman" w:cs="Times New Roman"/>
          <w:szCs w:val="22"/>
        </w:rPr>
        <w:t>集群在国内影响力日益增强，规模以上</w:t>
      </w:r>
      <w:r>
        <w:rPr>
          <w:rFonts w:hint="eastAsia" w:hAnsi="Times New Roman" w:cs="Times New Roman"/>
          <w:color w:val="000000" w:themeColor="text1"/>
          <w:szCs w:val="22"/>
        </w:rPr>
        <w:t>工业增加值达到39</w:t>
      </w:r>
      <w:r>
        <w:rPr>
          <w:rFonts w:hAnsi="Times New Roman" w:cs="Times New Roman"/>
          <w:color w:val="000000" w:themeColor="text1"/>
          <w:szCs w:val="22"/>
        </w:rPr>
        <w:t>68.80</w:t>
      </w:r>
      <w:r>
        <w:rPr>
          <w:rFonts w:hint="eastAsia" w:hAnsi="Times New Roman" w:cs="Times New Roman"/>
          <w:color w:val="000000" w:themeColor="text1"/>
          <w:szCs w:val="22"/>
        </w:rPr>
        <w:t>亿元，产值超千亿元的制造业产业集群达到8个，战略性新兴产业产值占规模以上工业总产</w:t>
      </w:r>
      <w:r>
        <w:rPr>
          <w:rFonts w:hint="eastAsia" w:hAnsi="Times New Roman" w:cs="Times New Roman"/>
          <w:szCs w:val="22"/>
        </w:rPr>
        <w:t>值比</w:t>
      </w:r>
      <w:r>
        <w:rPr>
          <w:rFonts w:hint="eastAsia" w:hAnsi="Times New Roman" w:cs="Times New Roman"/>
          <w:color w:val="000000" w:themeColor="text1"/>
          <w:szCs w:val="22"/>
        </w:rPr>
        <w:t>重达到3</w:t>
      </w:r>
      <w:r>
        <w:rPr>
          <w:rFonts w:hAnsi="Times New Roman" w:cs="Times New Roman"/>
          <w:color w:val="000000" w:themeColor="text1"/>
          <w:szCs w:val="22"/>
        </w:rPr>
        <w:t>4.9</w:t>
      </w:r>
      <w:r>
        <w:rPr>
          <w:rFonts w:hint="eastAsia" w:hAnsi="Times New Roman" w:cs="Times New Roman"/>
          <w:color w:val="000000" w:themeColor="text1"/>
          <w:szCs w:val="22"/>
        </w:rPr>
        <w:t>%。现代服务业提质增效，文化商贸旅游体育融合</w:t>
      </w:r>
      <w:r>
        <w:rPr>
          <w:rFonts w:hint="eastAsia" w:hAnsi="Times New Roman" w:cs="Times New Roman"/>
          <w:szCs w:val="22"/>
        </w:rPr>
        <w:t>度</w:t>
      </w:r>
      <w:r>
        <w:rPr>
          <w:rFonts w:hint="eastAsia" w:hAnsi="Times New Roman" w:cs="Times New Roman"/>
          <w:color w:val="000000" w:themeColor="text1"/>
          <w:szCs w:val="22"/>
        </w:rPr>
        <w:t>明显提升，现代服务业增加值占服务业增加值比重达到54.6%。中国企业500强、中国制造业企业500强、中国服务业企业500强、中国民营企业500强入围企业数量均居全省第一。农业现代化迈出坚实步伐，“百企建百园”工程成果丰硕。无锡作为战略性新兴产业培育成效明显市、全国工业稳增长和转型升级成效明显市，两次受到国务院办公厅通报激励。</w:t>
      </w:r>
    </w:p>
    <w:p>
      <w:pPr>
        <w:ind w:firstLine="640"/>
        <w:rPr>
          <w:rFonts w:hAnsi="Times New Roman" w:cs="Times New Roman"/>
          <w:color w:val="000000" w:themeColor="text1"/>
        </w:rPr>
      </w:pPr>
      <w:r>
        <w:rPr>
          <w:rFonts w:hint="eastAsia" w:hAnsi="Times New Roman" w:cs="Times New Roman"/>
          <w:color w:val="000000" w:themeColor="text1"/>
        </w:rPr>
        <w:t>创新驱动能力明显增强。加快构建产业科技创新体系，科技进步贡献率预计达</w:t>
      </w:r>
      <w:r>
        <w:rPr>
          <w:rFonts w:hint="eastAsia" w:hAnsi="Times New Roman" w:cs="Times New Roman"/>
        </w:rPr>
        <w:t>到66%，继续保持全省领先，全社会研发经费投入占地区生产总值比重预</w:t>
      </w:r>
      <w:r>
        <w:rPr>
          <w:rFonts w:hint="eastAsia" w:hAnsi="Times New Roman" w:cs="Times New Roman"/>
          <w:color w:val="000000" w:themeColor="text1"/>
        </w:rPr>
        <w:t>计提高到3.3</w:t>
      </w:r>
      <w:r>
        <w:rPr>
          <w:rFonts w:hAnsi="Times New Roman" w:cs="Times New Roman"/>
          <w:color w:val="000000" w:themeColor="text1"/>
        </w:rPr>
        <w:t>9</w:t>
      </w:r>
      <w:r>
        <w:rPr>
          <w:rFonts w:hint="eastAsia" w:hAnsi="Times New Roman" w:cs="Times New Roman"/>
          <w:color w:val="000000" w:themeColor="text1"/>
        </w:rPr>
        <w:t>%</w:t>
      </w:r>
      <w:r>
        <w:rPr>
          <w:rFonts w:hint="eastAsia" w:hAnsi="Times New Roman" w:cs="Times New Roman"/>
        </w:rPr>
        <w:t>，高新技术产业产值占规模以上工业总产值比重达到48.</w:t>
      </w:r>
      <w:r>
        <w:rPr>
          <w:rFonts w:hAnsi="Times New Roman" w:cs="Times New Roman"/>
        </w:rPr>
        <w:t>33%</w:t>
      </w:r>
      <w:r>
        <w:rPr>
          <w:rFonts w:hint="eastAsia" w:hAnsi="Times New Roman" w:cs="Times New Roman"/>
        </w:rPr>
        <w:t>。全面启动太湖湾科技创新带规划建设，国家超级计算（无锡）中心、国家集成电路特色工艺及封装测试创新中心、国家智能交通测试基地、国家“芯火”双创基地、无锡先进技术研究院等国家级重大创新平台载体相继建成投运，深海技术科学太湖实验室建成省级实验室，省级以上工程研究中心（实验室）、企业技术中心、工程技术研究中心分别达到82家、313家、603家。创新型企业倍增计划深入推进，全市高新技术企业达到</w:t>
      </w:r>
      <w:r>
        <w:rPr>
          <w:rFonts w:hAnsi="Times New Roman" w:cs="Times New Roman"/>
        </w:rPr>
        <w:t>4030</w:t>
      </w:r>
      <w:r>
        <w:rPr>
          <w:rFonts w:hint="eastAsia" w:hAnsi="Times New Roman" w:cs="Times New Roman"/>
        </w:rPr>
        <w:t>家，雏鹰、瞪羚及准独角兽入库</w:t>
      </w:r>
      <w:r>
        <w:rPr>
          <w:rFonts w:hint="eastAsia" w:hAnsi="Times New Roman" w:cs="Times New Roman"/>
          <w:color w:val="000000" w:themeColor="text1"/>
        </w:rPr>
        <w:t>企业分别达到2013家、1110家、102家。阳光集团获评全省首个“中国质量奖”。“太湖人才计划”深入实施，全市人才</w:t>
      </w:r>
      <w:r>
        <w:rPr>
          <w:rFonts w:hint="eastAsia" w:hAnsi="Times New Roman" w:cs="Times New Roman"/>
        </w:rPr>
        <w:t>总量超过183</w:t>
      </w:r>
      <w:r>
        <w:rPr>
          <w:rFonts w:hint="eastAsia" w:hAnsi="Times New Roman" w:cs="Times New Roman"/>
          <w:color w:val="000000" w:themeColor="text1"/>
        </w:rPr>
        <w:t>万人，市级以上院士工作站累计达到163家，连续两年获评“中国最佳引才城市”。</w:t>
      </w:r>
    </w:p>
    <w:p>
      <w:pPr>
        <w:ind w:firstLine="640"/>
        <w:rPr>
          <w:rFonts w:hAnsi="Times New Roman" w:cs="Times New Roman"/>
          <w:color w:val="000000" w:themeColor="text1"/>
          <w:szCs w:val="22"/>
        </w:rPr>
      </w:pPr>
      <w:r>
        <w:rPr>
          <w:rFonts w:hint="eastAsia" w:hAnsi="Times New Roman" w:cs="Times New Roman"/>
          <w:color w:val="000000" w:themeColor="text1"/>
          <w:szCs w:val="22"/>
        </w:rPr>
        <w:t>改革开放实现重大突破。行政体制改革提速，梁溪区、新吴区、无锡经济开发区正式成立，市县两级党政机构改革、基层整合审批服务执法力量改革全面完成，江阴市县级集成改革试点经验全面推广。“放管服”改革持续深化，企业各项负担成本持续降低，国资国企改革深入推进，创立“无难事、悉心办”最优营商环境城市品牌。境内外上市企业累计达162家，科创板上市企</w:t>
      </w:r>
      <w:r>
        <w:rPr>
          <w:rFonts w:hint="eastAsia" w:hAnsi="Times New Roman" w:cs="Times New Roman"/>
          <w:szCs w:val="22"/>
        </w:rPr>
        <w:t>业累计达到7家、居全</w:t>
      </w:r>
      <w:r>
        <w:rPr>
          <w:rFonts w:hint="eastAsia" w:hAnsi="Times New Roman" w:cs="Times New Roman"/>
          <w:color w:val="000000" w:themeColor="text1"/>
          <w:szCs w:val="22"/>
        </w:rPr>
        <w:t>国第</w:t>
      </w:r>
      <w:r>
        <w:rPr>
          <w:rFonts w:hint="eastAsia" w:hAnsi="Times New Roman" w:cs="Times New Roman"/>
          <w:szCs w:val="22"/>
        </w:rPr>
        <w:t>六</w:t>
      </w:r>
      <w:r>
        <w:rPr>
          <w:rFonts w:hint="eastAsia" w:hAnsi="Times New Roman" w:cs="Times New Roman"/>
          <w:color w:val="000000" w:themeColor="text1"/>
          <w:szCs w:val="22"/>
        </w:rPr>
        <w:t>。开放型经济结构转型提升，服务贸易进出口额占全市进出口总额比重达到12</w:t>
      </w:r>
      <w:r>
        <w:rPr>
          <w:rFonts w:hAnsi="Times New Roman" w:cs="Times New Roman"/>
          <w:color w:val="000000" w:themeColor="text1"/>
          <w:szCs w:val="22"/>
        </w:rPr>
        <w:t>.05</w:t>
      </w:r>
      <w:r>
        <w:rPr>
          <w:rFonts w:hint="eastAsia" w:hAnsi="Times New Roman" w:cs="Times New Roman"/>
          <w:color w:val="000000" w:themeColor="text1"/>
          <w:szCs w:val="22"/>
        </w:rPr>
        <w:t>%，五年累计实际使</w:t>
      </w:r>
      <w:r>
        <w:rPr>
          <w:rFonts w:hint="eastAsia" w:hAnsi="Times New Roman" w:cs="Times New Roman"/>
          <w:szCs w:val="22"/>
        </w:rPr>
        <w:t>用外资</w:t>
      </w:r>
      <w:r>
        <w:rPr>
          <w:rFonts w:hAnsi="Times New Roman" w:cs="Times New Roman"/>
          <w:szCs w:val="22"/>
        </w:rPr>
        <w:t>达到</w:t>
      </w:r>
      <w:r>
        <w:rPr>
          <w:rFonts w:hint="eastAsia" w:hAnsi="Times New Roman" w:cs="Times New Roman"/>
          <w:szCs w:val="22"/>
        </w:rPr>
        <w:t>180</w:t>
      </w:r>
      <w:r>
        <w:rPr>
          <w:rFonts w:hAnsi="Times New Roman" w:cs="Times New Roman"/>
          <w:szCs w:val="22"/>
        </w:rPr>
        <w:t>.44</w:t>
      </w:r>
      <w:r>
        <w:rPr>
          <w:rFonts w:hint="eastAsia" w:hAnsi="Times New Roman" w:cs="Times New Roman"/>
          <w:szCs w:val="22"/>
        </w:rPr>
        <w:t>亿美</w:t>
      </w:r>
      <w:r>
        <w:rPr>
          <w:rFonts w:hint="eastAsia" w:hAnsi="Times New Roman" w:cs="Times New Roman"/>
          <w:color w:val="000000" w:themeColor="text1"/>
          <w:szCs w:val="22"/>
        </w:rPr>
        <w:t>元，国家跨境电商综合试验区、国家文化出口基地、国际邮件互换局（交换站）、药品进口口岸成功获批。深度参与“一带一路”交汇点建设，柬埔寨西哈努克港经济特区产城融合步伐加快，高水平对外开放新优势加快形成。</w:t>
      </w:r>
    </w:p>
    <w:p>
      <w:pPr>
        <w:ind w:firstLine="640"/>
        <w:rPr>
          <w:rFonts w:hAnsi="Times New Roman" w:cs="Times New Roman"/>
          <w:color w:val="000000" w:themeColor="text1"/>
          <w:szCs w:val="22"/>
        </w:rPr>
      </w:pPr>
      <w:r>
        <w:rPr>
          <w:rFonts w:hint="eastAsia" w:hAnsi="Times New Roman" w:cs="Times New Roman"/>
          <w:color w:val="000000" w:themeColor="text1"/>
          <w:szCs w:val="22"/>
        </w:rPr>
        <w:t>区域城乡统筹全面提速。融入以上海为龙头的长三角区域一体化格局基本确立，市域一体化迈出坚实步伐。苏南硕放区域枢纽机场改扩建工程顺利完工，地铁1号线南延线和3号线一期建成通车，南沿江铁路、锡澄轨道S1线、地铁4号线一期、苏锡常南部高速公路、宜马快速通道加快建设，快速路网体系加快完善，全国性综合交通枢纽地位进一步巩固。城市更新和精细化管理成效显著，完成棚户</w:t>
      </w:r>
      <w:r>
        <w:rPr>
          <w:rFonts w:hint="eastAsia" w:hAnsi="Times New Roman" w:cs="Times New Roman"/>
          <w:szCs w:val="22"/>
        </w:rPr>
        <w:t>区改造350万平方米、宜</w:t>
      </w:r>
      <w:r>
        <w:rPr>
          <w:rFonts w:hint="eastAsia" w:hAnsi="Times New Roman" w:cs="Times New Roman"/>
          <w:color w:val="000000" w:themeColor="text1"/>
          <w:szCs w:val="22"/>
        </w:rPr>
        <w:t>居住区建设1024万平方米。新型城镇化和乡村振兴战略深入实施，农村人居环境整治行动成效明显，首批107个试点村农房建设全面完成，中国美丽休闲乡村、省级休闲观光农业示范村数量居全省前列。</w:t>
      </w:r>
    </w:p>
    <w:p>
      <w:pPr>
        <w:ind w:firstLine="640"/>
        <w:rPr>
          <w:rFonts w:hAnsi="Times New Roman" w:cs="Times New Roman"/>
          <w:color w:val="000000" w:themeColor="text1"/>
          <w:szCs w:val="22"/>
        </w:rPr>
      </w:pPr>
      <w:r>
        <w:rPr>
          <w:rFonts w:hint="eastAsia" w:hAnsi="Times New Roman" w:cs="Times New Roman"/>
          <w:color w:val="000000" w:themeColor="text1"/>
          <w:szCs w:val="22"/>
        </w:rPr>
        <w:t>生态环境质量持续改善。坚决落实长江经济带“共抓大保护、不搞大开发”要求，深入推进污染防治攻坚战，累计关闭化工企业</w:t>
      </w:r>
      <w:r>
        <w:rPr>
          <w:rFonts w:hint="eastAsia" w:hAnsi="Times New Roman" w:cs="Times New Roman"/>
          <w:szCs w:val="22"/>
        </w:rPr>
        <w:t>887家</w:t>
      </w:r>
      <w:r>
        <w:rPr>
          <w:rFonts w:hint="eastAsia" w:hAnsi="Times New Roman" w:cs="Times New Roman"/>
          <w:color w:val="000000" w:themeColor="text1"/>
          <w:szCs w:val="22"/>
        </w:rPr>
        <w:t>，关停取缔“散乱污”企业（作坊）12523家，单位地区生产总值能耗实现苏南最低。水环境综合治理深入推进，建成区72条黑臭水体全面消除黑臭，地表水国省考断面水质优</w:t>
      </w:r>
      <w:r>
        <w:rPr>
          <w:rFonts w:hint="eastAsia" w:hAnsi="宋体" w:cs="宋体"/>
          <w:color w:val="000000" w:themeColor="text1"/>
          <w:szCs w:val="22"/>
        </w:rPr>
        <w:t>Ⅲ</w:t>
      </w:r>
      <w:r>
        <w:rPr>
          <w:rFonts w:hint="eastAsia" w:hAnsi="Times New Roman" w:cs="Times New Roman"/>
          <w:color w:val="000000" w:themeColor="text1"/>
          <w:szCs w:val="22"/>
        </w:rPr>
        <w:t>类比例提升到86.0%，连续13年实现太湖安全度夏和“两个确保”。空气质量明显改善，细颗粒物（PM</w:t>
      </w:r>
      <w:r>
        <w:rPr>
          <w:rFonts w:hint="eastAsia" w:hAnsi="Times New Roman" w:cs="Times New Roman"/>
          <w:color w:val="000000" w:themeColor="text1"/>
          <w:szCs w:val="22"/>
          <w:vertAlign w:val="subscript"/>
        </w:rPr>
        <w:t>2.5</w:t>
      </w:r>
      <w:r>
        <w:rPr>
          <w:rFonts w:hint="eastAsia" w:hAnsi="Times New Roman" w:cs="Times New Roman"/>
          <w:color w:val="000000" w:themeColor="text1"/>
          <w:szCs w:val="22"/>
        </w:rPr>
        <w:t>）平均浓度下降至33微克/立方米，空气质量优良天数比率提高到81.7%。固废危废处理处置能力大幅提升，锡东垃圾焚烧发电厂原址复工投运，市区生活垃圾分类设施覆</w:t>
      </w:r>
      <w:r>
        <w:rPr>
          <w:rFonts w:hint="eastAsia" w:hAnsi="Times New Roman" w:cs="Times New Roman"/>
          <w:szCs w:val="22"/>
        </w:rPr>
        <w:t>盖率达85</w:t>
      </w:r>
      <w:r>
        <w:rPr>
          <w:rFonts w:hAnsi="Times New Roman" w:cs="Times New Roman"/>
          <w:szCs w:val="22"/>
        </w:rPr>
        <w:t>%</w:t>
      </w:r>
      <w:r>
        <w:rPr>
          <w:rFonts w:hint="eastAsia" w:hAnsi="Times New Roman" w:cs="Times New Roman"/>
          <w:szCs w:val="22"/>
        </w:rPr>
        <w:t>以</w:t>
      </w:r>
      <w:r>
        <w:rPr>
          <w:rFonts w:hint="eastAsia" w:hAnsi="Times New Roman" w:cs="Times New Roman"/>
          <w:color w:val="000000" w:themeColor="text1"/>
          <w:szCs w:val="22"/>
        </w:rPr>
        <w:t>上，成为首批国家生态文明建设示范市和全国首个建成生态城市群的地级市。</w:t>
      </w:r>
    </w:p>
    <w:p>
      <w:pPr>
        <w:ind w:firstLine="640"/>
        <w:rPr>
          <w:rFonts w:hAnsi="Times New Roman" w:cs="Times New Roman"/>
          <w:color w:val="000000" w:themeColor="text1"/>
          <w:szCs w:val="22"/>
        </w:rPr>
      </w:pPr>
      <w:r>
        <w:rPr>
          <w:rFonts w:hint="eastAsia" w:hAnsi="Times New Roman" w:cs="Times New Roman"/>
          <w:color w:val="000000" w:themeColor="text1"/>
          <w:szCs w:val="22"/>
        </w:rPr>
        <w:t>人民生活质量稳步提升。落实以人民为中心的发展思想，全市公共财政支出近80%投向民生领域，人民群众获得感、幸福感和安全感不断提升。居民人均可支配收入增速与经济增速基本同步，居民人均可支配收入达到57</w:t>
      </w:r>
      <w:r>
        <w:rPr>
          <w:rFonts w:hAnsi="Times New Roman" w:cs="Times New Roman"/>
          <w:color w:val="000000" w:themeColor="text1"/>
          <w:szCs w:val="22"/>
        </w:rPr>
        <w:t>589</w:t>
      </w:r>
      <w:r>
        <w:rPr>
          <w:rFonts w:hint="eastAsia" w:hAnsi="Times New Roman" w:cs="Times New Roman"/>
          <w:color w:val="000000" w:themeColor="text1"/>
          <w:szCs w:val="22"/>
        </w:rPr>
        <w:t>元。精准帮扶脱困任务全面完成，155个市级经济薄弱村提前实现脱困转化，居民低保家庭人均年收入超过1.2万元，实现低保、特困供养标准大市统一、城乡一体。坚持就业优先，累计新增城镇就</w:t>
      </w:r>
      <w:r>
        <w:rPr>
          <w:rFonts w:hint="eastAsia" w:hAnsi="Times New Roman" w:cs="Times New Roman"/>
          <w:szCs w:val="22"/>
        </w:rPr>
        <w:t>业77.4万人</w:t>
      </w:r>
      <w:r>
        <w:rPr>
          <w:rFonts w:hint="eastAsia" w:hAnsi="Times New Roman" w:cs="Times New Roman"/>
          <w:color w:val="000000" w:themeColor="text1"/>
          <w:szCs w:val="22"/>
        </w:rPr>
        <w:t>，城镇调查失业率控制在5%以内。教育、医疗、养老、文化、体育、助残等民生实事扎实推进，入选国家现代职业教育高地建设城市，成为首个国家健康城市示范市全覆盖的地级市。对口支援帮扶合作取得阶段性重大成果，陕西延安、青海海东等城市提前实现脱贫。常态化新冠肺炎疫情防控走向深入，风险防控体系和应急管理体系进一步健全。</w:t>
      </w:r>
    </w:p>
    <w:p>
      <w:pPr>
        <w:ind w:firstLine="640"/>
        <w:rPr>
          <w:rFonts w:hAnsi="Times New Roman" w:cs="Times New Roman"/>
          <w:color w:val="000000" w:themeColor="text1"/>
          <w:szCs w:val="22"/>
        </w:rPr>
      </w:pPr>
      <w:r>
        <w:rPr>
          <w:rFonts w:hint="eastAsia" w:hAnsi="Times New Roman" w:cs="Times New Roman"/>
          <w:color w:val="000000" w:themeColor="text1"/>
          <w:szCs w:val="22"/>
        </w:rPr>
        <w:t>社会文明程度明显提高。思想文化建设取得重大进展，社会主义核心价值观深入人心，市民文明素质明显提高，全国先进集体和先进个人不断涌现，创成首个全国双拥模范城市群。文化事业产业加快发展，大运河文化带建设积极推进，创成国家公共文化服务体系示范区和中国旅游休闲示范城市，“太湖明珠·江南盛地”城市形象更加彰显。市域治理体系和治理能力现代化取得积极进展，法治建设、平安建设、安全生产、生态环境和公共卫生等各领域基础性制度体系基本形成，获评全国社会信用体系建设示范城市，成为首批全国市域社会治理现代化试点城市，荣获全国社会治安综合治理最高荣誉“长安杯”。</w:t>
      </w:r>
    </w:p>
    <w:p>
      <w:pPr>
        <w:ind w:firstLine="640"/>
        <w:rPr>
          <w:rFonts w:hAnsi="Times New Roman" w:cs="Times New Roman"/>
          <w:color w:val="000000" w:themeColor="text1"/>
          <w:szCs w:val="22"/>
        </w:rPr>
      </w:pPr>
      <w:r>
        <w:rPr>
          <w:rFonts w:hint="eastAsia" w:hAnsi="Times New Roman" w:cs="Times New Roman"/>
          <w:color w:val="000000" w:themeColor="text1"/>
          <w:szCs w:val="22"/>
        </w:rPr>
        <w:t>在全面总结“十三五”发展成效的同时，我们也要清醒地看到，囿于宏观环境变化、自身所处发展阶段、资源要素制约等综合因素影响，无锡经济社会发展仍面临一些问题和挑战：自主创新能力有待增强，产业基础高级化和产业链现代化步伐还需加快，重点领域关键环节改革任务仍然艰巨，基础设施建设仍存在短板，营商环境有待进一步优化，生态环境整治任务依然艰巨，人口结构问题亟待解决，民生领域还存在薄弱环节，社会治理、公共安全</w:t>
      </w:r>
      <w:r>
        <w:rPr>
          <w:rFonts w:hint="eastAsia" w:hAnsi="Times New Roman" w:cs="Times New Roman"/>
          <w:szCs w:val="22"/>
        </w:rPr>
        <w:t>、文明城市</w:t>
      </w:r>
      <w:r>
        <w:rPr>
          <w:rFonts w:hint="eastAsia" w:hAnsi="Times New Roman" w:cs="Times New Roman"/>
          <w:color w:val="000000" w:themeColor="text1"/>
          <w:szCs w:val="22"/>
        </w:rPr>
        <w:t>等领域仍存在不少隐患。面对“十三五”期间取得的成绩和存在的问题，需要我们充分调动和发挥各方面积极性主动性创造性，树立底线思维，提高创新能力，深化改革开放，探索发展新路，在攻坚克难中开创新局面。</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0" w:firstLineChars="0"/>
        <w:jc w:val="center"/>
        <w:rPr>
          <w:rFonts w:ascii="方正黑体_GBK" w:hAnsi="Times New Roman" w:eastAsia="方正黑体_GBK" w:cs="Times New Roman"/>
          <w:color w:val="000000" w:themeColor="text1"/>
          <w:sz w:val="28"/>
          <w:szCs w:val="28"/>
        </w:rPr>
      </w:pPr>
      <w:r>
        <w:rPr>
          <w:rFonts w:hint="eastAsia" w:ascii="方正黑体_GBK" w:hAnsi="Times New Roman" w:eastAsia="方正黑体_GBK" w:cs="Times New Roman"/>
          <w:color w:val="000000" w:themeColor="text1"/>
          <w:sz w:val="28"/>
          <w:szCs w:val="28"/>
        </w:rPr>
        <w:t>表1  无锡市“十三五”规划纲要主要指标完成情况表</w:t>
      </w:r>
    </w:p>
    <w:tbl>
      <w:tblPr>
        <w:tblStyle w:val="22"/>
        <w:tblW w:w="8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1"/>
        <w:gridCol w:w="616"/>
        <w:gridCol w:w="993"/>
        <w:gridCol w:w="2121"/>
        <w:gridCol w:w="1265"/>
        <w:gridCol w:w="1071"/>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分类</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序号</w:t>
            </w:r>
          </w:p>
        </w:tc>
        <w:tc>
          <w:tcPr>
            <w:tcW w:w="3114" w:type="dxa"/>
            <w:gridSpan w:val="2"/>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指标名称</w:t>
            </w:r>
          </w:p>
        </w:tc>
        <w:tc>
          <w:tcPr>
            <w:tcW w:w="1265" w:type="dxa"/>
            <w:shd w:val="clear" w:color="auto" w:fill="auto"/>
            <w:noWrap/>
            <w:vAlign w:val="center"/>
          </w:tcPr>
          <w:p>
            <w:pPr>
              <w:kinsoku w:val="0"/>
              <w:overflowPunct w:val="0"/>
              <w:autoSpaceDE w:val="0"/>
              <w:autoSpaceDN w:val="0"/>
              <w:ind w:firstLine="0" w:firstLineChars="0"/>
              <w:jc w:val="center"/>
              <w:rPr>
                <w:rFonts w:ascii="方正黑体_GBK" w:hAnsi="Times New Roman" w:eastAsia="方正黑体_GBK" w:cs="Times New Roman"/>
                <w:color w:val="000000" w:themeColor="text1"/>
                <w:kern w:val="0"/>
                <w:sz w:val="18"/>
                <w:szCs w:val="18"/>
              </w:rPr>
            </w:pPr>
            <w:r>
              <w:rPr>
                <w:rFonts w:hint="eastAsia" w:ascii="方正黑体_GBK" w:hAnsi="Times New Roman" w:eastAsia="方正黑体_GBK" w:cs="Times New Roman"/>
                <w:color w:val="000000" w:themeColor="text1"/>
                <w:kern w:val="0"/>
                <w:sz w:val="18"/>
                <w:szCs w:val="18"/>
              </w:rPr>
              <w:t>“十三五”</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目标</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2019年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完成情况</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2020年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预计实现值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经济强</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地区生产总值年均增幅（%）</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年均7.5左右</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年均7.2</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规模以上工业总产值（亿元）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17591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全员劳动生产率（万元/人）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30.58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w:t>
            </w:r>
          </w:p>
        </w:tc>
        <w:tc>
          <w:tcPr>
            <w:tcW w:w="993" w:type="dxa"/>
            <w:vMerge w:val="restart"/>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人口城镇化率（%）</w:t>
            </w: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常住人口城镇化率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77</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77.1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993"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户籍人口城镇化率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76</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76.97</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研发经费投入占GDP比重（%）</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3.12</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科技进步贡献率（%）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66</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65.8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高新技术产业产值占规模以上工业总产值比重（%）</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45.6</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strike/>
                <w:kern w:val="0"/>
                <w:sz w:val="18"/>
                <w:szCs w:val="18"/>
              </w:rPr>
            </w:pPr>
            <w:r>
              <w:rPr>
                <w:rFonts w:ascii="Times New Roman" w:hAnsi="Times New Roman" w:eastAsia="宋体" w:cs="Times New Roman"/>
                <w:kern w:val="0"/>
                <w:sz w:val="18"/>
                <w:szCs w:val="18"/>
              </w:rPr>
              <w:t>48.33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服务业增加值占GDP比重（%）</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&gt;50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51.5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消费对经济增长贡献率（%）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&gt;50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59.5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10</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五年引进到位注册外资总量（亿美元）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[144.2]</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百姓富</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城镇居民人均可支配收入（元）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64000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61915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64714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农村居民人均可支配收入（元）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33574</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低保家庭人均年收入（元）</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12000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市区、江阴11520；宜兴10920</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常住人口规模（万人）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670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659.15</w:t>
            </w:r>
          </w:p>
        </w:tc>
        <w:tc>
          <w:tcPr>
            <w:tcW w:w="1376" w:type="dxa"/>
            <w:shd w:val="clear" w:color="auto" w:fill="auto"/>
            <w:noWrap/>
            <w:vAlign w:val="center"/>
          </w:tcPr>
          <w:p>
            <w:pPr>
              <w:kinsoku w:val="0"/>
              <w:overflowPunct w:val="0"/>
              <w:autoSpaceDE w:val="0"/>
              <w:autoSpaceDN w:val="0"/>
              <w:spacing w:line="2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待人口普查</w:t>
            </w:r>
          </w:p>
          <w:p>
            <w:pPr>
              <w:kinsoku w:val="0"/>
              <w:overflowPunct w:val="0"/>
              <w:autoSpaceDE w:val="0"/>
              <w:autoSpaceDN w:val="0"/>
              <w:spacing w:line="2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现代教育发展水平（分）</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92.94</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劳动年龄人口平均受教育年限（年）</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&gt;13</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12.06</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城镇调查失业率（%）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&lt;5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&lt;5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&lt;5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五年新增城镇就业（万人）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[50]</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[61.8]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19</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每千人口执业（助理）医师数（人）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993" w:type="dxa"/>
            <w:vMerge w:val="restart"/>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城乡基本社会保险覆盖率（%）</w:t>
            </w: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城乡基本养老保险覆盖率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98.59</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993"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城乡基本医疗保险覆盖率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98.65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993"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121"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失业保险覆盖率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98.7</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21</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城市居民公共交通出行分担率（%）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&gt;28</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29.5</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每千名老人拥有养老床位数（张）</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23</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人均拥有公共体育设施面积（平方米）</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2.77</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3.13</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24</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城镇常住人口保障性住房覆盖率（%）</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&gt;22</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27.0</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千人食品抽检率（批次/千人）</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7.08</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环境美</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26</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耕地保有量（万亩）</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≥166.24</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218.71</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27</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新增建设用地规模（万亩）</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不超过省下达目标任务</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[5.39]</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28</w:t>
            </w:r>
          </w:p>
        </w:tc>
        <w:tc>
          <w:tcPr>
            <w:tcW w:w="3114"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单位GDP能耗降低（%）</w:t>
            </w:r>
          </w:p>
        </w:tc>
        <w:tc>
          <w:tcPr>
            <w:tcW w:w="1265"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071"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[14.4]</w:t>
            </w:r>
          </w:p>
        </w:tc>
        <w:tc>
          <w:tcPr>
            <w:tcW w:w="137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[18.7]</w:t>
            </w:r>
          </w:p>
        </w:tc>
      </w:tr>
    </w:tbl>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tbl>
      <w:tblPr>
        <w:tblStyle w:val="22"/>
        <w:tblW w:w="8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1"/>
        <w:gridCol w:w="616"/>
        <w:gridCol w:w="1245"/>
        <w:gridCol w:w="2065"/>
        <w:gridCol w:w="992"/>
        <w:gridCol w:w="1134"/>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分类</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序号</w:t>
            </w:r>
          </w:p>
        </w:tc>
        <w:tc>
          <w:tcPr>
            <w:tcW w:w="3310" w:type="dxa"/>
            <w:gridSpan w:val="2"/>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指标名称</w:t>
            </w:r>
          </w:p>
        </w:tc>
        <w:tc>
          <w:tcPr>
            <w:tcW w:w="992" w:type="dxa"/>
            <w:shd w:val="clear" w:color="auto" w:fill="auto"/>
            <w:noWrap/>
            <w:vAlign w:val="center"/>
          </w:tcPr>
          <w:p>
            <w:pPr>
              <w:kinsoku w:val="0"/>
              <w:overflowPunct w:val="0"/>
              <w:autoSpaceDE w:val="0"/>
              <w:autoSpaceDN w:val="0"/>
              <w:ind w:firstLine="0" w:firstLineChars="0"/>
              <w:jc w:val="center"/>
              <w:rPr>
                <w:rFonts w:ascii="方正黑体_GBK" w:hAnsi="Times New Roman" w:eastAsia="方正黑体_GBK" w:cs="Times New Roman"/>
                <w:color w:val="000000" w:themeColor="text1"/>
                <w:kern w:val="0"/>
                <w:sz w:val="18"/>
                <w:szCs w:val="18"/>
              </w:rPr>
            </w:pPr>
            <w:r>
              <w:rPr>
                <w:rFonts w:hint="eastAsia" w:ascii="方正黑体_GBK" w:hAnsi="Times New Roman" w:eastAsia="方正黑体_GBK" w:cs="Times New Roman"/>
                <w:color w:val="000000" w:themeColor="text1"/>
                <w:kern w:val="0"/>
                <w:sz w:val="18"/>
                <w:szCs w:val="18"/>
              </w:rPr>
              <w:t>“十三五”</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目标</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2019年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完成情况</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2020年</w:t>
            </w:r>
          </w:p>
          <w:p>
            <w:pPr>
              <w:kinsoku w:val="0"/>
              <w:overflowPunct w:val="0"/>
              <w:autoSpaceDE w:val="0"/>
              <w:autoSpaceDN w:val="0"/>
              <w:ind w:firstLine="0" w:firstLineChars="0"/>
              <w:jc w:val="center"/>
              <w:rPr>
                <w:rFonts w:ascii="Times New Roman" w:hAnsi="Times New Roman" w:eastAsia="方正黑体_GBK" w:cs="Times New Roman"/>
                <w:color w:val="000000" w:themeColor="text1"/>
                <w:kern w:val="0"/>
                <w:sz w:val="18"/>
                <w:szCs w:val="18"/>
              </w:rPr>
            </w:pPr>
            <w:r>
              <w:rPr>
                <w:rFonts w:ascii="Times New Roman" w:hAnsi="Times New Roman" w:eastAsia="方正黑体_GBK" w:cs="Times New Roman"/>
                <w:color w:val="000000" w:themeColor="text1"/>
                <w:kern w:val="0"/>
                <w:sz w:val="18"/>
                <w:szCs w:val="18"/>
              </w:rPr>
              <w:t>预计实现值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环境美</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29</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单位GDP二氧化碳排放降低（%）</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累计≥21.5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30</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非化石能源占一次能源消费比重（%）</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1245" w:type="dxa"/>
            <w:vMerge w:val="restart"/>
            <w:shd w:val="clear" w:color="auto" w:fill="auto"/>
            <w:noWrap/>
            <w:vAlign w:val="center"/>
          </w:tcPr>
          <w:p>
            <w:pPr>
              <w:kinsoku w:val="0"/>
              <w:overflowPunct w:val="0"/>
              <w:autoSpaceDE w:val="0"/>
              <w:autoSpaceDN w:val="0"/>
              <w:ind w:firstLine="0" w:firstLineChars="0"/>
              <w:rPr>
                <w:rFonts w:hint="eastAsia"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主要污染物</w:t>
            </w:r>
          </w:p>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排放减少（%）</w:t>
            </w: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化学需氧量</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[13.81]</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[11.98]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氨氮</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[14.21]</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[11.62]</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总氮</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[15.61]</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[12.61]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二氧化硫</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氮氧化物</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挥发性有机物</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32</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空气质量达到二级标准的天数比例（%）</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72.1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33</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细颗粒物（PM</w:t>
            </w:r>
            <w:r>
              <w:rPr>
                <w:rFonts w:ascii="Times New Roman" w:hAnsi="Times New Roman" w:eastAsia="宋体" w:cs="Times New Roman"/>
                <w:color w:val="000000" w:themeColor="text1"/>
                <w:kern w:val="0"/>
                <w:sz w:val="18"/>
                <w:szCs w:val="18"/>
                <w:vertAlign w:val="subscript"/>
              </w:rPr>
              <w:t>2.5</w:t>
            </w:r>
            <w:r>
              <w:rPr>
                <w:rFonts w:ascii="Times New Roman" w:hAnsi="Times New Roman" w:eastAsia="宋体" w:cs="Times New Roman"/>
                <w:color w:val="000000" w:themeColor="text1"/>
                <w:kern w:val="0"/>
                <w:sz w:val="18"/>
                <w:szCs w:val="18"/>
              </w:rPr>
              <w:t>）浓度下降率（%）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累计≥20</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[36.1]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34</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地表水达到或优于</w:t>
            </w:r>
            <w:r>
              <w:rPr>
                <w:rFonts w:hint="eastAsia" w:ascii="宋体" w:hAnsi="宋体" w:eastAsia="宋体" w:cs="宋体"/>
                <w:color w:val="000000" w:themeColor="text1"/>
                <w:kern w:val="0"/>
                <w:sz w:val="18"/>
                <w:szCs w:val="18"/>
              </w:rPr>
              <w:t>Ⅲ</w:t>
            </w:r>
            <w:r>
              <w:rPr>
                <w:rFonts w:ascii="Times New Roman" w:hAnsi="Times New Roman" w:eastAsia="宋体" w:cs="Times New Roman"/>
                <w:color w:val="000000" w:themeColor="text1"/>
                <w:kern w:val="0"/>
                <w:sz w:val="18"/>
                <w:szCs w:val="18"/>
              </w:rPr>
              <w:t>类水质的比例（%）</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&gt;70</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81.4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万元GDP用水量下降（%）</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[24.27]</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36</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单位工业增加值用水量降低（%）</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[21.8]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37</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城镇生活污水集中处理率（%）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&gt;95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&gt;95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38</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林木覆盖率（%）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&gt;27</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39</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林木蓄积量（万立方米）</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433</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40</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建成区绿化覆盖率（%）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&gt;42.98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社会文明程度高</w:t>
            </w: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41</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文化产业增加值占GDP比重（%）</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4.26</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42</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人均拥有公共文化设施面积（平方米）</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0.22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0.38</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43</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居民科学素质达标率（%）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14.4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44</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每万人刑事案件发案率（万分之）</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&lt;72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60.24</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45</w:t>
            </w:r>
          </w:p>
        </w:tc>
        <w:tc>
          <w:tcPr>
            <w:tcW w:w="3310" w:type="dxa"/>
            <w:gridSpan w:val="2"/>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亿元GDP安全事故死亡率（人/亿元）</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&lt;0.05</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0.023</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46</w:t>
            </w:r>
          </w:p>
        </w:tc>
        <w:tc>
          <w:tcPr>
            <w:tcW w:w="1245" w:type="dxa"/>
            <w:vMerge w:val="restart"/>
            <w:shd w:val="clear" w:color="auto" w:fill="auto"/>
            <w:noWrap/>
            <w:vAlign w:val="center"/>
          </w:tcPr>
          <w:p>
            <w:pPr>
              <w:kinsoku w:val="0"/>
              <w:overflowPunct w:val="0"/>
              <w:autoSpaceDE w:val="0"/>
              <w:autoSpaceDN w:val="0"/>
              <w:ind w:firstLine="0" w:firstLineChars="0"/>
              <w:rPr>
                <w:rFonts w:hint="eastAsia"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城乡和谐社区建设达标率</w:t>
            </w:r>
          </w:p>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城市和谐社区建设达标率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农村和谐社区建设达标率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97.5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restart"/>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47</w:t>
            </w:r>
          </w:p>
        </w:tc>
        <w:tc>
          <w:tcPr>
            <w:tcW w:w="1245" w:type="dxa"/>
            <w:vMerge w:val="restart"/>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城乡居民依法自治（%）</w:t>
            </w: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城镇居委会依法自治达标率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99.2</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98.5</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5" w:hRule="atLeast"/>
          <w:jc w:val="center"/>
        </w:trPr>
        <w:tc>
          <w:tcPr>
            <w:tcW w:w="801"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616" w:type="dxa"/>
            <w:vMerge w:val="continue"/>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p>
        </w:tc>
        <w:tc>
          <w:tcPr>
            <w:tcW w:w="1245" w:type="dxa"/>
            <w:vMerge w:val="continue"/>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p>
        </w:tc>
        <w:tc>
          <w:tcPr>
            <w:tcW w:w="2065" w:type="dxa"/>
            <w:shd w:val="clear" w:color="auto" w:fill="auto"/>
            <w:noWrap/>
            <w:vAlign w:val="center"/>
          </w:tcPr>
          <w:p>
            <w:pPr>
              <w:kinsoku w:val="0"/>
              <w:overflowPunct w:val="0"/>
              <w:autoSpaceDE w:val="0"/>
              <w:autoSpaceDN w:val="0"/>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农村村委会依法自治达标率</w:t>
            </w:r>
          </w:p>
        </w:tc>
        <w:tc>
          <w:tcPr>
            <w:tcW w:w="992"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99.8</w:t>
            </w:r>
          </w:p>
        </w:tc>
        <w:tc>
          <w:tcPr>
            <w:tcW w:w="1134"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99.7</w:t>
            </w:r>
          </w:p>
        </w:tc>
        <w:tc>
          <w:tcPr>
            <w:tcW w:w="1417" w:type="dxa"/>
            <w:shd w:val="clear" w:color="auto" w:fill="auto"/>
            <w:noWrap/>
            <w:vAlign w:val="center"/>
          </w:tcPr>
          <w:p>
            <w:pPr>
              <w:kinsoku w:val="0"/>
              <w:overflowPunct w:val="0"/>
              <w:autoSpaceDE w:val="0"/>
              <w:autoSpaceDN w:val="0"/>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99.8</w:t>
            </w:r>
          </w:p>
        </w:tc>
      </w:tr>
    </w:tbl>
    <w:p>
      <w:pPr>
        <w:kinsoku w:val="0"/>
        <w:overflowPunct w:val="0"/>
        <w:autoSpaceDE w:val="0"/>
        <w:autoSpaceDN w:val="0"/>
        <w:ind w:firstLine="424" w:firstLineChars="236"/>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注：[ ]为五年累计</w:t>
      </w:r>
      <w:r>
        <w:rPr>
          <w:rFonts w:ascii="Times New Roman" w:hAnsi="Times New Roman" w:eastAsia="宋体" w:cs="Times New Roman"/>
          <w:kern w:val="0"/>
          <w:sz w:val="18"/>
          <w:szCs w:val="18"/>
        </w:rPr>
        <w:t>数；*2020年无相应数值，因2019年10月21日省政府《关于公布江苏省省级面向基层创建示范项目目录的公告》第二款第（三）项将全</w:t>
      </w:r>
      <w:r>
        <w:rPr>
          <w:rFonts w:ascii="Times New Roman" w:hAnsi="Times New Roman" w:eastAsia="宋体" w:cs="Times New Roman"/>
          <w:color w:val="000000" w:themeColor="text1"/>
          <w:kern w:val="0"/>
          <w:sz w:val="18"/>
          <w:szCs w:val="18"/>
        </w:rPr>
        <w:t>省和谐社区建设示范单位创建纳入全省省级民主法治示范村、民主法治示范社区创建项目中，因此城乡和谐社区建设达标率2020年无相应数值。</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pStyle w:val="44"/>
        <w:ind w:firstLine="640"/>
        <w:rPr>
          <w:rFonts w:ascii="Times New Roman" w:hAnsi="Times New Roman"/>
          <w:color w:val="000000" w:themeColor="text1"/>
        </w:rPr>
      </w:pPr>
      <w:bookmarkStart w:id="10" w:name="_Toc55236621"/>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1" w:name="_Toc66870165"/>
      <w:r>
        <w:rPr>
          <w:rFonts w:ascii="Times New Roman" w:hAnsi="Times New Roman" w:eastAsia="方正黑体_GBK" w:cs="Times New Roman"/>
          <w:bCs/>
          <w:color w:val="000000" w:themeColor="text1"/>
          <w:szCs w:val="32"/>
        </w:rPr>
        <w:t>第二章  发展环境</w:t>
      </w:r>
      <w:bookmarkEnd w:id="10"/>
      <w:bookmarkEnd w:id="11"/>
    </w:p>
    <w:p>
      <w:pPr>
        <w:ind w:firstLine="640"/>
        <w:rPr>
          <w:rFonts w:hAnsi="Times New Roman" w:cs="Times New Roman"/>
          <w:color w:val="000000" w:themeColor="text1"/>
          <w:szCs w:val="22"/>
        </w:rPr>
      </w:pPr>
      <w:r>
        <w:rPr>
          <w:rFonts w:hint="eastAsia" w:hAnsi="Times New Roman" w:cs="Times New Roman"/>
          <w:color w:val="000000" w:themeColor="text1"/>
          <w:szCs w:val="22"/>
        </w:rPr>
        <w:t>“十四五”时期，世界百年未有之大变局与我国社会主义现代化建设新征程开局起步相互交融，无锡未来发展的内部条件和面临的外部环境都将发生复杂而深刻的重大变化。</w:t>
      </w:r>
    </w:p>
    <w:p>
      <w:pPr>
        <w:ind w:firstLine="640"/>
        <w:rPr>
          <w:rFonts w:hAnsi="Times New Roman" w:cs="Times New Roman"/>
          <w:color w:val="000000" w:themeColor="text1"/>
          <w:szCs w:val="22"/>
        </w:rPr>
      </w:pPr>
      <w:r>
        <w:rPr>
          <w:rFonts w:hint="eastAsia" w:hAnsi="Times New Roman" w:cs="Times New Roman"/>
          <w:color w:val="000000" w:themeColor="text1"/>
          <w:szCs w:val="22"/>
        </w:rPr>
        <w:t>从国际形势来看，和平与发展仍然是时代主题，新兴经济体和发展中国家正在群体性崛起，新一轮科技革命和产业变革深入发展，全球重要生产网络区域内部循环更加强化，总体上仍处于重要战略机遇期，但国际力量对比深刻调整，新冠肺炎疫情影响广泛深远，经济全球化遭遇逆流，世界进入动荡变革期，不稳定性不确定性明显增加。无锡作为开放前沿城市和制造业大市，既受到外部环境深刻变化带来的严峻挑战，也面临着全球经贸规则变动、产业链创新链价值链重构带来的新机遇。</w:t>
      </w:r>
    </w:p>
    <w:p>
      <w:pPr>
        <w:ind w:firstLine="640"/>
        <w:rPr>
          <w:rFonts w:hAnsi="Times New Roman" w:cs="Times New Roman"/>
          <w:color w:val="000000" w:themeColor="text1"/>
          <w:szCs w:val="22"/>
        </w:rPr>
      </w:pPr>
      <w:r>
        <w:rPr>
          <w:rFonts w:hint="eastAsia" w:hAnsi="Times New Roman" w:cs="Times New Roman"/>
          <w:color w:val="000000" w:themeColor="text1"/>
          <w:szCs w:val="22"/>
        </w:rPr>
        <w:t>从国内形势来看，我国已转向高质量发展阶段，制度优势显著，治理效能提升，经济长期向好，物质基础雄厚，人力资源丰富，市场空间广阔，发展韧性强劲，社会大局稳定，继续发展具有多方面优势和条件。我省在高水平全面建成小康社会后，“争当表率</w:t>
      </w:r>
      <w:r>
        <w:rPr>
          <w:rFonts w:hint="eastAsia" w:hAnsi="Times New Roman" w:cs="Times New Roman"/>
          <w:szCs w:val="22"/>
        </w:rPr>
        <w:t>、</w:t>
      </w:r>
      <w:r>
        <w:rPr>
          <w:rFonts w:hint="eastAsia" w:hAnsi="Times New Roman" w:cs="Times New Roman"/>
          <w:color w:val="000000" w:themeColor="text1"/>
          <w:szCs w:val="22"/>
        </w:rPr>
        <w:t>争做示范</w:t>
      </w:r>
      <w:r>
        <w:rPr>
          <w:rFonts w:hint="eastAsia" w:hAnsi="Times New Roman" w:cs="Times New Roman"/>
          <w:szCs w:val="22"/>
        </w:rPr>
        <w:t>、</w:t>
      </w:r>
      <w:r>
        <w:rPr>
          <w:rFonts w:hint="eastAsia" w:hAnsi="Times New Roman" w:cs="Times New Roman"/>
          <w:color w:val="000000" w:themeColor="text1"/>
          <w:szCs w:val="22"/>
        </w:rPr>
        <w:t>走在前列”已成为进入现代化建设新阶段的新使命。无锡要深刻认识新发展阶段的新特征新要求，准确把握构建以国内大循环为主体、国内国际双循环相互促进的新发展格局的战略部署，着力提高经济强的显示度、百姓富的幸福感、环境美的含绿量、社会文明程度高的包容性，成为全省全国</w:t>
      </w:r>
      <w:r>
        <w:rPr>
          <w:rFonts w:hint="eastAsia" w:hAnsi="Times New Roman" w:cs="Times New Roman"/>
          <w:szCs w:val="22"/>
        </w:rPr>
        <w:t>率先实现社会主义现代化的先行军</w:t>
      </w:r>
      <w:r>
        <w:rPr>
          <w:rFonts w:hint="eastAsia" w:hAnsi="Times New Roman" w:cs="Times New Roman"/>
          <w:color w:val="000000" w:themeColor="text1"/>
          <w:szCs w:val="22"/>
        </w:rPr>
        <w:t>。</w:t>
      </w:r>
    </w:p>
    <w:p>
      <w:pPr>
        <w:ind w:firstLine="643"/>
        <w:rPr>
          <w:rFonts w:hAnsi="Times New Roman" w:cs="Times New Roman"/>
          <w:color w:val="000000" w:themeColor="text1"/>
          <w:szCs w:val="22"/>
        </w:rPr>
      </w:pPr>
      <w:r>
        <w:rPr>
          <w:rFonts w:hAnsi="Times New Roman" w:cs="Times New Roman"/>
          <w:b/>
          <w:bCs/>
          <w:color w:val="000000" w:themeColor="text1"/>
          <w:szCs w:val="22"/>
        </w:rPr>
        <w:pict>
          <v:shape id="_x0000_s1026" o:spid="_x0000_s1026" o:spt="202" type="#_x0000_t202" style="position:absolute;left:0pt;margin-top:265.5pt;height:109.5pt;width:434pt;mso-position-horizontal:left;mso-position-horizontal-relative:margin;mso-wrap-distance-bottom:3.6pt;mso-wrap-distance-top:3.6pt;z-index:251664384;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">
            <v:path/>
            <v:fill focussize="0,0"/>
            <v:stroke joinstyle="miter"/>
            <v:imagedata o:title=""/>
            <o:lock v:ext="edit"/>
            <v:textbox>
              <w:txbxContent>
                <w:p>
                  <w:pPr>
                    <w:ind w:firstLine="0" w:firstLineChars="0"/>
                    <w:jc w:val="center"/>
                    <w:rPr>
                      <w:rFonts w:ascii="方正黑体_GBK" w:eastAsia="方正黑体_GBK"/>
                      <w:sz w:val="24"/>
                      <w:szCs w:val="24"/>
                    </w:rPr>
                  </w:pPr>
                  <w:r>
                    <w:rPr>
                      <w:rFonts w:hint="eastAsia" w:ascii="方正黑体_GBK" w:eastAsia="方正黑体_GBK"/>
                      <w:sz w:val="24"/>
                      <w:szCs w:val="24"/>
                    </w:rPr>
                    <w:t>无锡</w:t>
                  </w:r>
                  <w:r>
                    <w:rPr>
                      <w:rFonts w:ascii="方正黑体_GBK" w:eastAsia="方正黑体_GBK"/>
                      <w:sz w:val="24"/>
                      <w:szCs w:val="24"/>
                    </w:rPr>
                    <w:t>“</w:t>
                  </w:r>
                  <w:r>
                    <w:rPr>
                      <w:rFonts w:hint="eastAsia" w:ascii="方正黑体_GBK" w:eastAsia="方正黑体_GBK"/>
                      <w:sz w:val="24"/>
                      <w:szCs w:val="24"/>
                    </w:rPr>
                    <w:t>十</w:t>
                  </w:r>
                  <w:r>
                    <w:rPr>
                      <w:rFonts w:ascii="方正黑体_GBK" w:eastAsia="方正黑体_GBK"/>
                      <w:sz w:val="24"/>
                      <w:szCs w:val="24"/>
                    </w:rPr>
                    <w:t>四五”</w:t>
                  </w:r>
                  <w:r>
                    <w:rPr>
                      <w:rFonts w:hint="eastAsia" w:ascii="方正黑体_GBK" w:eastAsia="方正黑体_GBK"/>
                      <w:sz w:val="24"/>
                      <w:szCs w:val="24"/>
                    </w:rPr>
                    <w:t>时期经济</w:t>
                  </w:r>
                  <w:r>
                    <w:rPr>
                      <w:rFonts w:ascii="方正黑体_GBK" w:eastAsia="方正黑体_GBK"/>
                      <w:sz w:val="24"/>
                      <w:szCs w:val="24"/>
                    </w:rPr>
                    <w:t>社会发展主要</w:t>
                  </w:r>
                  <w:r>
                    <w:rPr>
                      <w:rFonts w:hint="eastAsia" w:ascii="方正黑体_GBK" w:eastAsia="方正黑体_GBK"/>
                      <w:sz w:val="24"/>
                      <w:szCs w:val="24"/>
                    </w:rPr>
                    <w:t>阶段性特</w:t>
                  </w:r>
                  <w:r>
                    <w:rPr>
                      <w:rFonts w:ascii="方正黑体_GBK" w:eastAsia="方正黑体_GBK"/>
                      <w:sz w:val="24"/>
                      <w:szCs w:val="24"/>
                    </w:rPr>
                    <w:t>征</w:t>
                  </w:r>
                </w:p>
                <w:p>
                  <w:pPr>
                    <w:spacing w:line="400" w:lineRule="exact"/>
                    <w:ind w:firstLine="480"/>
                    <w:rPr>
                      <w:sz w:val="24"/>
                      <w:szCs w:val="24"/>
                    </w:rPr>
                  </w:pPr>
                  <w:r>
                    <w:rPr>
                      <w:rFonts w:hint="eastAsia"/>
                      <w:sz w:val="24"/>
                      <w:szCs w:val="24"/>
                    </w:rPr>
                    <w:t>未</w:t>
                  </w:r>
                  <w:r>
                    <w:rPr>
                      <w:sz w:val="24"/>
                      <w:szCs w:val="24"/>
                    </w:rPr>
                    <w:t>来五年，是无锡</w:t>
                  </w:r>
                  <w:r>
                    <w:rPr>
                      <w:rFonts w:hint="eastAsia"/>
                      <w:sz w:val="24"/>
                      <w:szCs w:val="24"/>
                    </w:rPr>
                    <w:t>融入全局的加速调整期、自主创新的关键机遇期、产业强市的纵深推进期、改革开放的巩固提升期、区域发展的深度融合期、生态建设的攻坚窗口期、民生事业的优化提质期。</w:t>
                  </w:r>
                </w:p>
              </w:txbxContent>
            </v:textbox>
            <w10:wrap type="topAndBottom"/>
          </v:shape>
        </w:pict>
      </w:r>
      <w:r>
        <w:rPr>
          <w:rFonts w:hint="eastAsia" w:hAnsi="Times New Roman" w:cs="Times New Roman"/>
          <w:color w:val="000000" w:themeColor="text1"/>
          <w:szCs w:val="22"/>
        </w:rPr>
        <w:t>从区域发展来看，科技创新和体制创新成为区域高质量发展的重要路径，中心城市和城市群成为区域发展的主要支撑，区域发展模式由增长极、点轴向串珠式、网络化演进。长三角区域承担着为全国构建新发展格局探路、勇当科技和产业创新开路先锋、打造改革开放新高地的历史性使命，省内江海河湖联动发展格局加快构建，城市间一体化协同发展局面正在加速形成。无锡作为长三角区域中心城市，既可以借助区域协同发展提升城市功能，又可以在一体化进程中拓展更加广阔的发展空间。</w:t>
      </w: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2" w:name="_Toc55236624"/>
      <w:bookmarkStart w:id="13" w:name="_Toc66870166"/>
      <w:r>
        <w:rPr>
          <w:rFonts w:ascii="Times New Roman" w:hAnsi="Times New Roman" w:eastAsia="方正黑体_GBK" w:cs="Times New Roman"/>
          <w:bCs/>
          <w:color w:val="000000" w:themeColor="text1"/>
          <w:szCs w:val="32"/>
        </w:rPr>
        <w:t>第三章  总体</w:t>
      </w:r>
      <w:bookmarkEnd w:id="12"/>
      <w:r>
        <w:rPr>
          <w:rFonts w:ascii="Times New Roman" w:hAnsi="Times New Roman" w:eastAsia="方正黑体_GBK" w:cs="Times New Roman"/>
          <w:bCs/>
          <w:color w:val="000000" w:themeColor="text1"/>
          <w:szCs w:val="32"/>
        </w:rPr>
        <w:t>要求</w:t>
      </w:r>
      <w:bookmarkEnd w:id="13"/>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4" w:name="_Toc55236625"/>
      <w:bookmarkStart w:id="15" w:name="_Toc66870167"/>
      <w:r>
        <w:rPr>
          <w:rFonts w:ascii="Times New Roman" w:hAnsi="Times New Roman" w:eastAsia="方正楷体_GBK" w:cs="Times New Roman"/>
          <w:bCs/>
          <w:color w:val="000000" w:themeColor="text1"/>
          <w:szCs w:val="32"/>
        </w:rPr>
        <w:t>第一节  指导思想</w:t>
      </w:r>
      <w:bookmarkEnd w:id="14"/>
      <w:bookmarkEnd w:id="15"/>
    </w:p>
    <w:p>
      <w:pPr>
        <w:ind w:firstLine="640"/>
        <w:rPr>
          <w:rFonts w:hAnsi="Times New Roman" w:cs="Times New Roman"/>
          <w:color w:val="000000" w:themeColor="text1"/>
          <w:szCs w:val="22"/>
        </w:rPr>
      </w:pPr>
      <w:r>
        <w:rPr>
          <w:rFonts w:hint="eastAsia" w:hAnsi="Times New Roman" w:cs="Times New Roman"/>
          <w:color w:val="000000" w:themeColor="text1"/>
          <w:szCs w:val="22"/>
        </w:rPr>
        <w:t>高举中国特色社会主义伟大旗帜，深入贯彻党的十九大和十九届二中、三中、四中、五中全会精神，全面贯彻党的基本理论、基本路线、基本方略，全面落实习近平新时代中国特色社会主义思想和习近平总书记视察江苏重要讲话指示精神，以“强富美高”和“争当表率、争做示范、走在前列”为总纲领、总命题、总要求，统筹推进“五位一体”总体布局，协调推进“四个全面”战略布局，坚持党的全面领导，坚持以人民为中心，坚持新发展理念，坚持深化改革开放，坚持系统观念，坚持稳中求进工作总基调，以推动高质量发展为主题，以深化供给侧结构性改革为主线，以改革创新为根本动力，以满足人民日益增长的美好生活需要为根本目的，统筹发展和安全，加快建设具有无锡特色优势的现代化经济体系，加快在融入服务新发展格局中赢得主动，加快推进市域社会治理现代化试点，加快创造以共同富裕为基础的幸福生活，朝着实现第二个百年奋斗目标奋勇迈进。</w:t>
      </w:r>
      <w:r>
        <w:rPr>
          <w:rFonts w:hint="eastAsia" w:hAnsi="Times New Roman" w:cs="Times New Roman"/>
          <w:color w:val="000000" w:themeColor="text1"/>
          <w:szCs w:val="22"/>
        </w:rPr>
        <w:cr/>
      </w: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6" w:name="_Toc66870168"/>
      <w:bookmarkStart w:id="17" w:name="_Toc55236626"/>
      <w:r>
        <w:rPr>
          <w:rFonts w:ascii="Times New Roman" w:hAnsi="Times New Roman" w:eastAsia="方正楷体_GBK" w:cs="Times New Roman"/>
          <w:bCs/>
          <w:color w:val="000000" w:themeColor="text1"/>
          <w:szCs w:val="32"/>
        </w:rPr>
        <w:t>第二节  基本要求</w:t>
      </w:r>
      <w:bookmarkEnd w:id="16"/>
    </w:p>
    <w:p>
      <w:pPr>
        <w:ind w:firstLine="640"/>
        <w:rPr>
          <w:rFonts w:hAnsi="Times New Roman" w:cs="Times New Roman"/>
          <w:color w:val="000000" w:themeColor="text1"/>
        </w:rPr>
      </w:pPr>
      <w:r>
        <w:rPr>
          <w:rFonts w:hint="eastAsia" w:hAnsi="Times New Roman" w:cs="Times New Roman"/>
          <w:color w:val="000000" w:themeColor="text1"/>
        </w:rPr>
        <w:t>推动“十四五”时期发展，必须深入贯彻习近平总书记视察江苏重要讲话指示精神，认真落实省委对无锡的发展要求，勇立现代化建设潮头，勇闯现代化建设新路，勇开现代化建设新局，在现代化建设中体现无锡担当、作出无锡示范、贡献无锡力量，在国家“强起来”的历史进程中烙下太湖印记。</w:t>
      </w:r>
    </w:p>
    <w:p>
      <w:pPr>
        <w:ind w:firstLine="640"/>
        <w:rPr>
          <w:rFonts w:hAnsi="Times New Roman" w:cs="Times New Roman"/>
          <w:color w:val="000000" w:themeColor="text1"/>
        </w:rPr>
      </w:pPr>
      <w:r>
        <w:rPr>
          <w:rFonts w:hint="eastAsia" w:hAnsi="Times New Roman" w:cs="Times New Roman"/>
          <w:color w:val="000000" w:themeColor="text1"/>
        </w:rPr>
        <w:t>——勇做全省“争当表率、争做示范、走在前列”排头兵。围绕总书记对江苏提出的“争当表率、争做示范、走在前列”的新使命，对标对表总书记重要讲话指示精神，站在全省发展大局，牢固确立排头兵意识，增强担当作为责任，勇于为改革创新探寻、为构建新发展格局探索、为现代化建设探路，在全省“争当表率、争做示范、走在前列”上体现无锡担当。</w:t>
      </w:r>
    </w:p>
    <w:p>
      <w:pPr>
        <w:ind w:firstLine="640"/>
        <w:rPr>
          <w:rFonts w:hAnsi="Times New Roman" w:cs="Times New Roman"/>
          <w:color w:val="000000" w:themeColor="text1"/>
        </w:rPr>
      </w:pPr>
      <w:r>
        <w:rPr>
          <w:rFonts w:hint="eastAsia" w:hAnsi="Times New Roman" w:cs="Times New Roman"/>
          <w:color w:val="000000" w:themeColor="text1"/>
        </w:rPr>
        <w:t>——勇创全省“强富美高”建设示范区。围绕总书记为江苏描绘“经济强、百姓富、环境美、社会文明程度高”的宏伟蓝图，不断赋予“强富美高”新内涵，深化“强富美高”新实践，让“强富美高”成为无锡现代化形态中最令人信服、最令人自豪、最令人向往的特质，在全省推进“强富美高”建设上作出无锡示范。</w:t>
      </w:r>
    </w:p>
    <w:p>
      <w:pPr>
        <w:ind w:firstLine="640"/>
        <w:rPr>
          <w:rFonts w:hAnsi="Times New Roman" w:cs="Times New Roman"/>
          <w:color w:val="000000" w:themeColor="text1"/>
        </w:rPr>
      </w:pPr>
      <w:r>
        <w:rPr>
          <w:rFonts w:hint="eastAsia" w:hAnsi="Times New Roman" w:cs="Times New Roman"/>
          <w:color w:val="000000" w:themeColor="text1"/>
        </w:rPr>
        <w:t>——勇当全省高质量发展领跑者。围绕省委提出的“争当全省高质量发展领跑者”目标要求，自觉贯彻新发展理念，坚持高质量发展导向，加快实现质量、效益、动力的根本性改变，促进发展、规模、速度、质量、结构、效益、安全相统一，更有底气地喊出“高质量发展看无锡”，在全省推进高质量发展上贡献无锡力量。</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8" w:name="_Toc66870169"/>
      <w:r>
        <w:rPr>
          <w:rFonts w:ascii="Times New Roman" w:hAnsi="Times New Roman" w:eastAsia="方正楷体_GBK" w:cs="Times New Roman"/>
          <w:bCs/>
          <w:color w:val="000000" w:themeColor="text1"/>
          <w:szCs w:val="32"/>
        </w:rPr>
        <w:t>第三节  发展战略</w:t>
      </w:r>
      <w:bookmarkEnd w:id="17"/>
      <w:bookmarkEnd w:id="18"/>
    </w:p>
    <w:p>
      <w:pPr>
        <w:ind w:firstLine="640"/>
        <w:rPr>
          <w:rFonts w:hAnsi="Times New Roman" w:cs="Times New Roman"/>
          <w:color w:val="000000" w:themeColor="text1"/>
          <w:szCs w:val="22"/>
        </w:rPr>
      </w:pPr>
      <w:r>
        <w:rPr>
          <w:rFonts w:hint="eastAsia" w:hAnsi="Times New Roman" w:cs="Times New Roman"/>
          <w:color w:val="000000" w:themeColor="text1"/>
          <w:szCs w:val="22"/>
        </w:rPr>
        <w:t>围绕“十四五”时期的指导思想和基本要求，推进经济社会持续稳定健康发展，需要坚持实施以下六大战略：</w:t>
      </w:r>
    </w:p>
    <w:p>
      <w:pPr>
        <w:ind w:firstLine="640"/>
        <w:rPr>
          <w:rFonts w:hAnsi="Times New Roman" w:cs="Times New Roman"/>
          <w:color w:val="000000" w:themeColor="text1"/>
          <w:szCs w:val="22"/>
        </w:rPr>
      </w:pPr>
      <w:r>
        <w:rPr>
          <w:rFonts w:hint="eastAsia" w:hAnsi="Times New Roman" w:cs="Times New Roman"/>
          <w:color w:val="000000" w:themeColor="text1"/>
          <w:szCs w:val="22"/>
        </w:rPr>
        <w:t>创新驱动核心战略。坚定不移走自主创新道路，积极参与全球和区域科技协同创新，进一步强化创新在发展中的核心地位，把创新贯穿于经济社会发展各领域全过程，构建产业科技创新体系，培育新动能，提升新势能，为现代化建设提供强劲动力。</w:t>
      </w:r>
    </w:p>
    <w:p>
      <w:pPr>
        <w:ind w:firstLine="640"/>
        <w:rPr>
          <w:rFonts w:hAnsi="Times New Roman" w:cs="Times New Roman"/>
          <w:color w:val="000000" w:themeColor="text1"/>
          <w:szCs w:val="22"/>
        </w:rPr>
      </w:pPr>
      <w:r>
        <w:rPr>
          <w:rFonts w:hint="eastAsia" w:hAnsi="Times New Roman" w:cs="Times New Roman"/>
          <w:color w:val="000000" w:themeColor="text1"/>
          <w:szCs w:val="22"/>
        </w:rPr>
        <w:t>产业强市主导战略。紧扣智能化、绿色化、服务化、高端化方向，重点推动战略性新兴产业、先进制造业集群发展，积极推动现代服务业提质增效，全力推动数字经济、总部经济、枢纽经济发展，加快构建现代产业体系，努力打造国内一流、具有国际影响力的现代产业新高地。</w:t>
      </w:r>
    </w:p>
    <w:p>
      <w:pPr>
        <w:ind w:firstLine="640"/>
        <w:rPr>
          <w:rFonts w:hAnsi="Times New Roman" w:cs="Times New Roman"/>
          <w:color w:val="000000" w:themeColor="text1"/>
          <w:szCs w:val="22"/>
        </w:rPr>
      </w:pPr>
      <w:r>
        <w:rPr>
          <w:rFonts w:hint="eastAsia" w:hAnsi="Times New Roman" w:cs="Times New Roman"/>
          <w:color w:val="000000" w:themeColor="text1"/>
          <w:szCs w:val="22"/>
        </w:rPr>
        <w:t>开放融合战略。坚定推进更高层次更高水平开放，深度融入国家重大战略部署，对标国际一流水平改善营商环境，全面提升开放型经济发展质量水平，加快推进国际化城市建设，构建世界格局中的无锡。</w:t>
      </w:r>
    </w:p>
    <w:p>
      <w:pPr>
        <w:ind w:firstLine="640"/>
        <w:rPr>
          <w:rFonts w:hAnsi="Times New Roman" w:cs="Times New Roman"/>
          <w:color w:val="000000" w:themeColor="text1"/>
          <w:szCs w:val="22"/>
        </w:rPr>
      </w:pPr>
      <w:r>
        <w:rPr>
          <w:rFonts w:hint="eastAsia" w:hAnsi="Times New Roman" w:cs="Times New Roman"/>
          <w:color w:val="000000" w:themeColor="text1"/>
          <w:szCs w:val="22"/>
        </w:rPr>
        <w:t>区域一体化战略。坚持发挥比较优势，以对接上海为重点，做强市域一体化、服务省域一体化、融入长三角区域一体化，提升中心城市集聚辐射功能，增强融入区域一体化的整体合力，打造具有国际影响力的长三角区域中心城市。</w:t>
      </w:r>
    </w:p>
    <w:p>
      <w:pPr>
        <w:ind w:firstLine="640"/>
        <w:rPr>
          <w:rFonts w:hAnsi="Times New Roman" w:cs="Times New Roman"/>
          <w:color w:val="000000" w:themeColor="text1"/>
          <w:szCs w:val="22"/>
        </w:rPr>
      </w:pPr>
      <w:r>
        <w:rPr>
          <w:rFonts w:hint="eastAsia" w:hAnsi="Times New Roman" w:cs="Times New Roman"/>
          <w:color w:val="000000" w:themeColor="text1"/>
          <w:szCs w:val="22"/>
        </w:rPr>
        <w:t>可持续发展战略。坚持绿色发展理念，依托优越的山水自然资源和深厚的历史文化底蕴，大力发展绿色经济，坚定走生产发展、生活富裕、生态良好的文明发展道路，努力建设生态宜人、内涵品质跃升的美丽城乡新家园。</w:t>
      </w:r>
    </w:p>
    <w:p>
      <w:pPr>
        <w:ind w:firstLine="640"/>
        <w:rPr>
          <w:rFonts w:hAnsi="Times New Roman" w:cs="Times New Roman"/>
          <w:color w:val="000000" w:themeColor="text1"/>
          <w:szCs w:val="22"/>
        </w:rPr>
      </w:pPr>
      <w:r>
        <w:rPr>
          <w:rFonts w:hint="eastAsia" w:hAnsi="Times New Roman" w:cs="Times New Roman"/>
          <w:color w:val="000000" w:themeColor="text1"/>
          <w:szCs w:val="22"/>
        </w:rPr>
        <w:t>民生共建共享战略。坚持民生优先、共享发展，把民生需求作为经济社会发展的根本导向，健全解决民生问题的长效机制，提高民生保障供给能力和水平，让全体市民共享改革发展成果，打造更具获得感和自豪感的幸福标杆城市。</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 w:name="_Toc55236627"/>
      <w:bookmarkStart w:id="20" w:name="_Toc66870170"/>
      <w:r>
        <w:rPr>
          <w:rFonts w:ascii="Times New Roman" w:hAnsi="Times New Roman" w:eastAsia="方正楷体_GBK" w:cs="Times New Roman"/>
          <w:bCs/>
          <w:color w:val="000000" w:themeColor="text1"/>
          <w:szCs w:val="32"/>
        </w:rPr>
        <w:t xml:space="preserve">第四节  </w:t>
      </w:r>
      <w:bookmarkEnd w:id="19"/>
      <w:r>
        <w:rPr>
          <w:rFonts w:ascii="Times New Roman" w:hAnsi="Times New Roman" w:eastAsia="方正楷体_GBK" w:cs="Times New Roman"/>
          <w:bCs/>
          <w:color w:val="000000" w:themeColor="text1"/>
          <w:szCs w:val="32"/>
        </w:rPr>
        <w:t>二〇三五年远景目标</w:t>
      </w:r>
      <w:bookmarkEnd w:id="20"/>
    </w:p>
    <w:p>
      <w:pPr>
        <w:ind w:firstLine="640"/>
        <w:rPr>
          <w:rFonts w:hAnsi="Times New Roman" w:cs="Times New Roman"/>
          <w:color w:val="000000" w:themeColor="text1"/>
          <w:szCs w:val="22"/>
        </w:rPr>
      </w:pPr>
      <w:r>
        <w:rPr>
          <w:rFonts w:hint="eastAsia" w:hAnsi="Times New Roman" w:cs="Times New Roman"/>
          <w:color w:val="000000" w:themeColor="text1"/>
          <w:szCs w:val="22"/>
        </w:rPr>
        <w:t>到二〇三五年无锡将率先基本实现高水平社会主义现代化，基本建成具有国际竞争力的产业创新名城、具有国际美誉度的生态宜居名城、具有全国辐射力的交通枢纽名城、具有全国影响力的山水文旅名城，全市经济实力、科技实力、综合竞争力大幅提升，在二〇二〇年基础上人均地区生产总值实现翻一番、居民人均收入实现翻一番以上，成为长三角世界级城市群的重要中心城市，成为新时代社会主义现代化建设先行示范区，“强富美高”新无锡展现出现代化新图景。率先建成现代化经济体系，经济发展水平基本达到发达经济体水平，基本实现新型工业化、信息化、城镇化，率先实现农业农村现代化，创新能力达到创新型国家和地区前列水平，建成科技强市、人才强市，形成对外开放新格局和高水平开放型经济新体制，成为具有国际影响力的先进制造业基地和产业科技创新高地。率先建成区域协同发展的现代化，全面深度融入长三角区域一体化，市域形成一体化发展格局，全国性综合交通枢纽地位更加巩固，新型基础设施建设全国领先，城市综合功能、发展能级显著提升，</w:t>
      </w:r>
      <w:r>
        <w:rPr>
          <w:rFonts w:hAnsi="Times New Roman" w:cs="Times New Roman"/>
          <w:color w:val="000000" w:themeColor="text1"/>
          <w:szCs w:val="22"/>
        </w:rPr>
        <w:t>建成交通强市</w:t>
      </w:r>
      <w:r>
        <w:rPr>
          <w:rFonts w:hint="eastAsia" w:hAnsi="Times New Roman" w:cs="Times New Roman"/>
          <w:color w:val="000000" w:themeColor="text1"/>
          <w:szCs w:val="22"/>
        </w:rPr>
        <w:t>。率先实现人与自然和谐共生的现代化，绿色生产生活方式普遍形成，资源能源集约安全利用处于国内国际先进水平，碳排放提前实现达峰并稳中有降，生态环境实现根本性好转，建成更高水平的美丽中国、美丽江苏的样板城市。率先实现市域治理的现代化，城市运行安全保障体系更为健全，共建共治共享的社会治理格局更加完善，人民平等参与、平等发展权利得到充分保障，成为高水平的平安中国、法治中国示范区。率先实现共同富裕的现代化，中等收入群体成为主体，城乡居民生活水平均衡度保持领先，社会保障更加全面充分，人的全面发展和全体人民共同富裕走在全省全国前列。率先建成现代化公共服务体系，建成更高水平的健康无锡、诚信无锡、智慧无锡，建成文化强市、教育强市、体育强市，市民素质和社会文明程度达到新高度。党的全面领导落实到各领域各方面，全面从严治党持续深入推进，政治生态更加风清气正，中国特色社会主义制度优势在无锡充分彰显。</w:t>
      </w:r>
    </w:p>
    <w:p>
      <w:pPr>
        <w:ind w:firstLine="640"/>
        <w:rPr>
          <w:rFonts w:ascii="Times New Roman" w:hAnsi="Times New Roman" w:cs="Times New Roman"/>
          <w:color w:val="000000" w:themeColor="text1"/>
          <w:szCs w:val="22"/>
        </w:rPr>
      </w:pPr>
    </w:p>
    <w:p>
      <w:pPr>
        <w:pStyle w:val="4"/>
        <w:rPr>
          <w:rFonts w:hAnsi="Times New Roman" w:cs="Times New Roman"/>
          <w:color w:val="000000" w:themeColor="text1"/>
        </w:rPr>
      </w:pPr>
      <w:bookmarkStart w:id="21" w:name="_Toc66870171"/>
      <w:r>
        <w:rPr>
          <w:rFonts w:hint="eastAsia" w:hAnsi="Times New Roman" w:cs="Times New Roman"/>
          <w:color w:val="000000" w:themeColor="text1"/>
        </w:rPr>
        <w:t>第五节  “十四五”时期主要目标</w:t>
      </w:r>
      <w:bookmarkEnd w:id="21"/>
    </w:p>
    <w:p>
      <w:pPr>
        <w:ind w:firstLine="640"/>
        <w:rPr>
          <w:rFonts w:hAnsi="Times New Roman" w:cs="Times New Roman"/>
          <w:color w:val="000000" w:themeColor="text1"/>
          <w:szCs w:val="22"/>
        </w:rPr>
      </w:pPr>
      <w:r>
        <w:rPr>
          <w:rFonts w:hint="eastAsia" w:hAnsi="Times New Roman" w:cs="Times New Roman"/>
          <w:color w:val="000000" w:themeColor="text1"/>
          <w:szCs w:val="22"/>
        </w:rPr>
        <w:t>锚定二〇三五年远景目标，综合考虑未来趋势和条件，坚持目标导向和问题导向相结合，坚持守正和创新相统一，今后五年无锡经济社会发展要实现如下主要目标：</w:t>
      </w:r>
    </w:p>
    <w:p>
      <w:pPr>
        <w:ind w:firstLine="640"/>
        <w:rPr>
          <w:rFonts w:hAnsi="Times New Roman" w:cs="Times New Roman"/>
          <w:color w:val="000000" w:themeColor="text1"/>
          <w:szCs w:val="22"/>
        </w:rPr>
      </w:pPr>
      <w:r>
        <w:rPr>
          <w:rFonts w:hint="eastAsia" w:hAnsi="Times New Roman" w:cs="Times New Roman"/>
          <w:color w:val="000000" w:themeColor="text1"/>
          <w:szCs w:val="22"/>
        </w:rPr>
        <w:t>——经济高质量发展迈上新台阶。保持经济运行在合理区间，地区生产总值年均增速在6%左右，人均地区生产总值超过3万美元，继续保持全国大中城市前列。自主可控、安全高效的现代产业体系和产业科技创新体系基本形成，产业基础高级化和产业链现代化水平显著提升，现代流通体系更加顺畅高效，内需潜力不断释放，新经济发展取得突破，基本建成具有国际竞争力的先进制造业基地和产业科技创新高地，成为国内大循环的重要支点、国内国际双循环的重要枢纽，打响中国第一工商名城品牌。到2025年，千亿级产业集群数量增加至10个，科技进步贡献率达到68%，全社会研发经费投入占GDP比重达到4.0%，工业增加值率较2020年提高2</w:t>
      </w:r>
      <w:r>
        <w:rPr>
          <w:rFonts w:hAnsi="Times New Roman" w:cs="Times New Roman"/>
          <w:color w:val="000000" w:themeColor="text1"/>
          <w:szCs w:val="22"/>
        </w:rPr>
        <w:t>.1</w:t>
      </w:r>
      <w:r>
        <w:rPr>
          <w:rFonts w:hint="eastAsia" w:hAnsi="Times New Roman" w:cs="Times New Roman"/>
          <w:color w:val="000000" w:themeColor="text1"/>
          <w:szCs w:val="22"/>
        </w:rPr>
        <w:t>个百分点，高新技术产业产值占规模以上工业总产值比重达到50%，消费对经济增长贡献率达到60%。</w:t>
      </w:r>
    </w:p>
    <w:p>
      <w:pPr>
        <w:ind w:firstLine="640"/>
        <w:rPr>
          <w:rFonts w:hAnsi="Times New Roman" w:cs="Times New Roman"/>
          <w:color w:val="000000" w:themeColor="text1"/>
          <w:szCs w:val="22"/>
        </w:rPr>
      </w:pPr>
      <w:r>
        <w:rPr>
          <w:rFonts w:hint="eastAsia" w:hAnsi="Times New Roman" w:cs="Times New Roman"/>
          <w:color w:val="000000" w:themeColor="text1"/>
          <w:szCs w:val="22"/>
        </w:rPr>
        <w:t>——区域城乡建设取得新成效。融入长三角一体化取得重要突破，锡澄锡宜一体化水平显著提高，市域协同发展格局基本形成。交通</w:t>
      </w:r>
      <w:r>
        <w:rPr>
          <w:rFonts w:hAnsi="Times New Roman" w:cs="Times New Roman"/>
          <w:color w:val="000000" w:themeColor="text1"/>
          <w:szCs w:val="22"/>
        </w:rPr>
        <w:t>强</w:t>
      </w:r>
      <w:r>
        <w:rPr>
          <w:rFonts w:hint="eastAsia" w:hAnsi="Times New Roman" w:cs="Times New Roman"/>
          <w:color w:val="000000" w:themeColor="text1"/>
          <w:szCs w:val="22"/>
        </w:rPr>
        <w:t>市建设提</w:t>
      </w:r>
      <w:r>
        <w:rPr>
          <w:rFonts w:hAnsi="Times New Roman" w:cs="Times New Roman"/>
          <w:color w:val="000000" w:themeColor="text1"/>
          <w:szCs w:val="22"/>
        </w:rPr>
        <w:t>速</w:t>
      </w:r>
      <w:r>
        <w:rPr>
          <w:rFonts w:hint="eastAsia" w:hAnsi="Times New Roman" w:cs="Times New Roman"/>
          <w:color w:val="000000" w:themeColor="text1"/>
          <w:szCs w:val="22"/>
        </w:rPr>
        <w:t>，现代基础设施网络不断完善，</w:t>
      </w:r>
      <w:r>
        <w:rPr>
          <w:rFonts w:hAnsi="Times New Roman" w:cs="Times New Roman"/>
          <w:color w:val="000000" w:themeColor="text1"/>
          <w:szCs w:val="22"/>
        </w:rPr>
        <w:t>交通运输现代化基本实现</w:t>
      </w:r>
      <w:r>
        <w:rPr>
          <w:rFonts w:hint="eastAsia" w:hAnsi="Times New Roman" w:cs="Times New Roman"/>
          <w:color w:val="000000" w:themeColor="text1"/>
          <w:szCs w:val="22"/>
        </w:rPr>
        <w:t>，全国性综合交通枢纽城市基本建成。城市化质量进一步提高，城市综合功能显著增强，智慧城市建设成效初步展现。乡村振兴全面推进，城乡融合体制机制取得重要进展，城乡发展协调性明显增强。到2025年，轨道交通投运线路里程突破140公里，市民出行公交分担率提高到32%，城镇生活污水集中收集处理率达到95%以上，千兆入户光纤网络接入能力实现全覆盖。</w:t>
      </w:r>
    </w:p>
    <w:p>
      <w:pPr>
        <w:ind w:firstLine="640"/>
        <w:rPr>
          <w:rFonts w:hAnsi="Times New Roman" w:cs="Times New Roman"/>
          <w:color w:val="000000" w:themeColor="text1"/>
          <w:szCs w:val="22"/>
        </w:rPr>
      </w:pPr>
      <w:r>
        <w:rPr>
          <w:rFonts w:hint="eastAsia" w:hAnsi="Times New Roman" w:cs="Times New Roman"/>
          <w:color w:val="000000" w:themeColor="text1"/>
          <w:szCs w:val="22"/>
        </w:rPr>
        <w:t>——美丽无锡建设展现新面貌。生态环境治理体系和治理能力现代化取得重要突破，国土空间开发保护格局得到优化，生态产品绿色供给水平稳步提高，绿色经济发展活力持续增强，主要污染物排放总量持续大幅减少，生态环境质量明显改善，城乡宜居品质显著提升，美丽无锡建设的空间格局、发展路径、动力机制基本形成，无锡特色、江南韵味进一步彰显，建成国家生态园林城市，加快打造美丽中国、美丽江苏的样板城市。到2025年，单位</w:t>
      </w:r>
      <w:bookmarkStart w:id="22" w:name="_Hlk60079556"/>
      <w:r>
        <w:rPr>
          <w:rFonts w:hint="eastAsia" w:hAnsi="Times New Roman" w:cs="Times New Roman"/>
          <w:color w:val="000000" w:themeColor="text1"/>
          <w:szCs w:val="22"/>
        </w:rPr>
        <w:t>地区生产总值</w:t>
      </w:r>
      <w:bookmarkEnd w:id="22"/>
      <w:r>
        <w:rPr>
          <w:rFonts w:hint="eastAsia" w:hAnsi="Times New Roman" w:cs="Times New Roman"/>
          <w:color w:val="000000" w:themeColor="text1"/>
          <w:szCs w:val="22"/>
        </w:rPr>
        <w:t>能耗五年累计降低8%，细颗粒物（PM</w:t>
      </w:r>
      <w:r>
        <w:rPr>
          <w:rFonts w:hint="eastAsia" w:hAnsi="Times New Roman" w:cs="Times New Roman"/>
          <w:color w:val="000000" w:themeColor="text1"/>
          <w:szCs w:val="22"/>
          <w:vertAlign w:val="subscript"/>
        </w:rPr>
        <w:t>2.5</w:t>
      </w:r>
      <w:r>
        <w:rPr>
          <w:rFonts w:hint="eastAsia" w:hAnsi="Times New Roman" w:cs="Times New Roman"/>
          <w:color w:val="000000" w:themeColor="text1"/>
          <w:szCs w:val="22"/>
        </w:rPr>
        <w:t>）平均浓度</w:t>
      </w:r>
      <w:r>
        <w:rPr>
          <w:rFonts w:hint="eastAsia" w:hAnsi="Times New Roman" w:cs="Times New Roman"/>
          <w:szCs w:val="22"/>
        </w:rPr>
        <w:t>保持在</w:t>
      </w:r>
      <w:r>
        <w:rPr>
          <w:rFonts w:hint="eastAsia" w:hAnsi="Times New Roman" w:cs="Times New Roman"/>
          <w:color w:val="000000" w:themeColor="text1"/>
          <w:szCs w:val="22"/>
        </w:rPr>
        <w:t>35微克/立方米以下，空气质量优良天数比例达到82%以上，地表水国省考断面水质优</w:t>
      </w:r>
      <w:r>
        <w:rPr>
          <w:rFonts w:hint="eastAsia" w:hAnsi="宋体" w:cs="宋体"/>
          <w:color w:val="000000" w:themeColor="text1"/>
          <w:szCs w:val="22"/>
        </w:rPr>
        <w:t>Ⅲ</w:t>
      </w:r>
      <w:r>
        <w:rPr>
          <w:rFonts w:hint="eastAsia" w:hAnsi="Times New Roman" w:cs="Times New Roman"/>
          <w:color w:val="000000" w:themeColor="text1"/>
          <w:szCs w:val="22"/>
        </w:rPr>
        <w:t>类比例达到90%以上。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改革开放取得新进展。全面深化改革继续走在全省全国前列，重点领域和关键环节改革深度推进，高标准市场体系基本建成，要素市场化配置更加健全，市场主体更加充满活力，“无难事、悉心办”营商环境品牌持续打响，成为公认的最优营商环境城市。开放型经济质量和水平持续提升，高水平开放经济新体制基本形成，全面开放格局进一步确立，世界格局中的无锡加快构建，成为新时代全省高水平对外开放的开路先锋。到2025年，全市实际使用外资五年累计达到190亿美元，外贸稳中提质，高新技术产品出口和服务贸易占比不断提升。</w:t>
      </w:r>
    </w:p>
    <w:p>
      <w:pPr>
        <w:ind w:firstLine="640"/>
        <w:rPr>
          <w:rFonts w:hAnsi="Times New Roman" w:cs="Times New Roman"/>
          <w:color w:val="000000" w:themeColor="text1"/>
          <w:szCs w:val="22"/>
        </w:rPr>
      </w:pPr>
      <w:r>
        <w:rPr>
          <w:rFonts w:hint="eastAsia" w:hAnsi="Times New Roman" w:cs="Times New Roman"/>
          <w:color w:val="000000" w:themeColor="text1"/>
          <w:szCs w:val="22"/>
        </w:rPr>
        <w:t>——社会文明程度实现新提升。社会主义意识形态凝聚力和引领力显著增强，社会主义核心价值观更加深入人心，人民思想道德素质、科学文化素质和身心健康素质明显提高，公共文化服务体系和文化产业体系更加健全，无锡文化影响力显著扩大，“太湖明珠·江南盛地”城市形象进一步提升，社会文明程度达到新高度，成为过得硬的全国文明城市</w:t>
      </w:r>
      <w:r>
        <w:rPr>
          <w:rFonts w:hint="eastAsia" w:hAnsi="Times New Roman" w:cs="Times New Roman"/>
          <w:szCs w:val="22"/>
        </w:rPr>
        <w:t>典范</w:t>
      </w:r>
      <w:r>
        <w:rPr>
          <w:rFonts w:hint="eastAsia" w:hAnsi="Times New Roman" w:cs="Times New Roman"/>
          <w:color w:val="000000" w:themeColor="text1"/>
          <w:szCs w:val="22"/>
        </w:rPr>
        <w:t>。到2025年，全市活跃注册志愿者占城镇常住人口比例达到18%，全民阅读指数分值超过80，文化产业增加值占地区生产总值提高到5%以上。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市域治理现代化凝聚新效能。现代社会治理制度体系进一步健全，市域社会治理各方面制度体系更加完善，系统治理、依法治理、综合治理、源头治理能力和水平不断提升，防范化解重大风险体制机制不断完善，突发公共事件应急处置能力显著增强，制度优势转化为治理效能，建成高水平的平安无锡、法治无锡。到2025年，群众安全感持续保持在9</w:t>
      </w:r>
      <w:r>
        <w:rPr>
          <w:rFonts w:hAnsi="Times New Roman" w:cs="Times New Roman"/>
          <w:color w:val="000000" w:themeColor="text1"/>
          <w:szCs w:val="22"/>
        </w:rPr>
        <w:t>5</w:t>
      </w:r>
      <w:r>
        <w:rPr>
          <w:rFonts w:hint="eastAsia" w:hAnsi="Times New Roman" w:cs="Times New Roman"/>
          <w:color w:val="000000" w:themeColor="text1"/>
          <w:szCs w:val="22"/>
        </w:rPr>
        <w:t>%以上，群众法治满意度持续保持在90%以上。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——人民生活品质得到新改善。人口结构得到优化，实现更加充分更</w:t>
      </w:r>
      <w:r>
        <w:rPr>
          <w:rFonts w:hint="eastAsia" w:hAnsi="Times New Roman" w:cs="Times New Roman"/>
          <w:szCs w:val="22"/>
        </w:rPr>
        <w:t>高</w:t>
      </w:r>
      <w:r>
        <w:rPr>
          <w:rFonts w:hint="eastAsia" w:hAnsi="Times New Roman" w:cs="Times New Roman"/>
          <w:color w:val="000000" w:themeColor="text1"/>
          <w:szCs w:val="22"/>
        </w:rPr>
        <w:t>质量就业，城乡居民收入增长和经济增长基本同步，中等收入群体占比</w:t>
      </w:r>
      <w:r>
        <w:rPr>
          <w:rFonts w:hint="eastAsia" w:hAnsi="Times New Roman" w:cs="Times New Roman"/>
          <w:szCs w:val="22"/>
        </w:rPr>
        <w:t>明显</w:t>
      </w:r>
      <w:r>
        <w:rPr>
          <w:rFonts w:hint="eastAsia" w:hAnsi="Times New Roman" w:cs="Times New Roman"/>
          <w:color w:val="000000" w:themeColor="text1"/>
          <w:szCs w:val="22"/>
        </w:rPr>
        <w:t>提高，低收入群体增收长效机制基本建立，优质均衡、覆盖全体的公共服务体系、社会保障体系、现代教育体系、卫生健康体系、养老服务体系、住房保障体系的质量</w:t>
      </w:r>
      <w:r>
        <w:rPr>
          <w:rFonts w:hint="eastAsia" w:hAnsi="Times New Roman" w:cs="Times New Roman"/>
          <w:szCs w:val="22"/>
        </w:rPr>
        <w:t>和水平</w:t>
      </w:r>
      <w:r>
        <w:rPr>
          <w:rFonts w:hint="eastAsia" w:hAnsi="Times New Roman" w:cs="Times New Roman"/>
          <w:color w:val="000000" w:themeColor="text1"/>
          <w:szCs w:val="22"/>
        </w:rPr>
        <w:t>进一步提升，社会大局保持稳定，人民群众生命安全、身体健康、安居乐业得到更好保障，成为群众认可的最具幸福感城市。到2025年，居民人均可支配收入年均增长6%，城乡收入差距进一步缩小。五年新增城镇就业60万人，高等教育毛入学率达到70%，人均预期寿命提高到83.5岁。</w:t>
      </w:r>
      <w:r>
        <w:rPr>
          <w:rFonts w:hint="eastAsia" w:hAnsi="Times New Roman" w:cs="Times New Roman"/>
          <w:color w:val="000000" w:themeColor="text1"/>
          <w:szCs w:val="22"/>
        </w:rPr>
        <w:br w:type="page"/>
      </w:r>
    </w:p>
    <w:p>
      <w:pPr>
        <w:ind w:firstLine="0" w:firstLineChars="0"/>
        <w:jc w:val="center"/>
        <w:rPr>
          <w:rFonts w:ascii="方正黑体_GBK" w:hAnsi="Times New Roman" w:eastAsia="方正黑体_GBK" w:cs="Times New Roman"/>
          <w:color w:val="000000" w:themeColor="text1"/>
          <w:sz w:val="28"/>
          <w:szCs w:val="28"/>
        </w:rPr>
      </w:pPr>
      <w:r>
        <w:rPr>
          <w:rFonts w:hint="eastAsia" w:ascii="方正黑体_GBK" w:hAnsi="Times New Roman" w:eastAsia="方正黑体_GBK" w:cs="Times New Roman"/>
          <w:color w:val="000000" w:themeColor="text1"/>
          <w:sz w:val="28"/>
          <w:szCs w:val="28"/>
        </w:rPr>
        <w:t>表2  无锡市“十四五”经济社会发展主要指标</w:t>
      </w:r>
    </w:p>
    <w:tbl>
      <w:tblPr>
        <w:tblStyle w:val="45"/>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0"/>
        <w:gridCol w:w="494"/>
        <w:gridCol w:w="3269"/>
        <w:gridCol w:w="1418"/>
        <w:gridCol w:w="1134"/>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类别</w:t>
            </w:r>
          </w:p>
        </w:tc>
        <w:tc>
          <w:tcPr>
            <w:tcW w:w="494"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序号</w:t>
            </w:r>
          </w:p>
        </w:tc>
        <w:tc>
          <w:tcPr>
            <w:tcW w:w="3269"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指标</w:t>
            </w:r>
          </w:p>
        </w:tc>
        <w:tc>
          <w:tcPr>
            <w:tcW w:w="1418"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2020年</w:t>
            </w:r>
          </w:p>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预计值/实际值</w:t>
            </w:r>
          </w:p>
        </w:tc>
        <w:tc>
          <w:tcPr>
            <w:tcW w:w="1134"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2025年</w:t>
            </w:r>
          </w:p>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目标值</w:t>
            </w:r>
          </w:p>
        </w:tc>
        <w:tc>
          <w:tcPr>
            <w:tcW w:w="1161" w:type="dxa"/>
            <w:tcBorders>
              <w:bottom w:val="single" w:color="auto" w:sz="4" w:space="0"/>
            </w:tcBorders>
            <w:vAlign w:val="center"/>
          </w:tcPr>
          <w:p>
            <w:pPr>
              <w:adjustRightInd w:val="0"/>
              <w:snapToGrid w:val="0"/>
              <w:spacing w:line="300" w:lineRule="exact"/>
              <w:ind w:firstLine="0" w:firstLineChars="0"/>
              <w:jc w:val="center"/>
              <w:rPr>
                <w:rFonts w:ascii="Times New Roman" w:hAnsi="Times New Roman" w:eastAsia="黑体" w:cs="Times New Roman"/>
                <w:color w:val="000000" w:themeColor="text1"/>
                <w:kern w:val="0"/>
                <w:sz w:val="18"/>
                <w:szCs w:val="18"/>
              </w:rPr>
            </w:pPr>
            <w:r>
              <w:rPr>
                <w:rFonts w:ascii="Times New Roman" w:hAnsi="Times New Roman" w:eastAsia="黑体" w:cs="Times New Roman"/>
                <w:color w:val="000000" w:themeColor="text1"/>
                <w:kern w:val="0"/>
                <w:sz w:val="18"/>
                <w:szCs w:val="1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经济强</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地区生产总值增长率（%）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全员劳动生产率（万元/人）</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研发经费投入增长率（%）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年均10.8</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年均10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4</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每万人口拥有高价值发明专利数（件）</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高新技术产业产值占规模以上工业总产值比重（%）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48.33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工业增加值率（%）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22.9</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25左右</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现代服务业增加值占服务业增加值比重（%）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54.6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数字经济核心产业营业收入增长率（%）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年均10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文化产业增加值占地区生产总值比重（%）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4.26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百姓富</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10</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居民人均可支配收入增长率（%）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年均7.9</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年均6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11</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城镇调查失业率（%）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bookmarkStart w:id="23" w:name="_Hlk60248872"/>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12</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五年新增城镇就业（万人）</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[77.4]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[60]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13</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人均预期寿命（岁）</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kern w:val="0"/>
                <w:sz w:val="18"/>
                <w:szCs w:val="18"/>
              </w:rPr>
              <w:t>83.2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83.5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14</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每千人口拥有执业（助理）医师数（人）</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3.52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 xml:space="preserve">3.9 </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接受上门服务的居家老人数占比（%）</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16</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城乡基本养老保险参保缴费率（%）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待省公布</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17</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每千人口拥有3岁以下婴幼儿托位数（个）</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4.5 </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18</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城镇常住人口保障性住房覆盖率（%）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28</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u w:val="single"/>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left="1" w:leftChars="-8" w:hanging="27" w:hangingChars="15"/>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环境美</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19</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单位地区生产总值能源消耗下降率（%）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[18.7]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36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20</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单位地区生产总值二氧化碳排放下降率（%）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完成省下达目标</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36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21</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非化石能源占一次能源消费比重（%）</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完成省下达目标</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22</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空气质量优良天数比率（%）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81.7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82</w:t>
            </w:r>
          </w:p>
        </w:tc>
        <w:tc>
          <w:tcPr>
            <w:tcW w:w="1161"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23</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地表水国省考断面水质优</w:t>
            </w:r>
            <w:r>
              <w:rPr>
                <w:rFonts w:hint="eastAsia" w:ascii="宋体" w:hAnsi="宋体" w:eastAsia="宋体" w:cs="宋体"/>
                <w:kern w:val="0"/>
                <w:sz w:val="18"/>
                <w:szCs w:val="18"/>
              </w:rPr>
              <w:t>Ⅲ</w:t>
            </w:r>
            <w:r>
              <w:rPr>
                <w:rFonts w:ascii="Times New Roman" w:hAnsi="Times New Roman" w:eastAsia="宋体" w:cs="Times New Roman"/>
                <w:kern w:val="0"/>
                <w:sz w:val="18"/>
                <w:szCs w:val="18"/>
              </w:rPr>
              <w:t>类比例（%）</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86.0</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910"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ind w:firstLine="36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24</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林木覆盖率（%）</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27.71</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社会文明程度高</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25</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劳动年龄人口平均受教育年限（年）</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12.3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13</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9"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26</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人民群众对法治建设满意度（分）</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27</w:t>
            </w:r>
          </w:p>
        </w:tc>
        <w:tc>
          <w:tcPr>
            <w:tcW w:w="3269" w:type="dxa"/>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人均接受公共文化场馆服务次数（次）</w:t>
            </w:r>
          </w:p>
        </w:tc>
        <w:tc>
          <w:tcPr>
            <w:tcW w:w="1418" w:type="dxa"/>
            <w:vAlign w:val="center"/>
          </w:tcPr>
          <w:p>
            <w:pPr>
              <w:adjustRightInd w:val="0"/>
              <w:snapToGrid w:val="0"/>
              <w:spacing w:line="22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待省核定</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8.5</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28</w:t>
            </w:r>
          </w:p>
        </w:tc>
        <w:tc>
          <w:tcPr>
            <w:tcW w:w="3269" w:type="dxa"/>
            <w:vAlign w:val="center"/>
          </w:tcPr>
          <w:p>
            <w:pPr>
              <w:adjustRightInd w:val="0"/>
              <w:snapToGrid w:val="0"/>
              <w:spacing w:line="300" w:lineRule="exact"/>
              <w:ind w:firstLine="0" w:firstLineChars="0"/>
              <w:rPr>
                <w:rFonts w:ascii="Times New Roman" w:hAnsi="Times New Roman" w:eastAsia="宋体" w:cs="Times New Roman"/>
                <w:strike/>
                <w:kern w:val="0"/>
                <w:sz w:val="18"/>
                <w:szCs w:val="18"/>
              </w:rPr>
            </w:pPr>
            <w:r>
              <w:rPr>
                <w:rFonts w:ascii="Times New Roman" w:hAnsi="Times New Roman" w:eastAsia="宋体" w:cs="Times New Roman"/>
                <w:kern w:val="0"/>
                <w:sz w:val="18"/>
                <w:szCs w:val="18"/>
              </w:rPr>
              <w:t>社会文明程度测评指数</w:t>
            </w:r>
          </w:p>
        </w:tc>
        <w:tc>
          <w:tcPr>
            <w:tcW w:w="1418"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待省公布</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90</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restart"/>
            <w:tcBorders>
              <w:left w:val="single" w:color="auto" w:sz="4" w:space="0"/>
              <w:right w:val="single" w:color="auto" w:sz="4" w:space="0"/>
            </w:tcBorders>
            <w:vAlign w:val="center"/>
          </w:tcPr>
          <w:p>
            <w:pPr>
              <w:adjustRightInd w:val="0"/>
              <w:snapToGrid w:val="0"/>
              <w:spacing w:line="300" w:lineRule="exact"/>
              <w:ind w:left="1" w:leftChars="-8" w:hanging="27" w:hangingChars="15"/>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安全保障</w:t>
            </w: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29</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耕地保有量（万公顷）</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待省核定</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完成省下达目标</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left="1" w:leftChars="-8" w:hanging="27" w:hangingChars="15"/>
              <w:jc w:val="center"/>
              <w:rPr>
                <w:rFonts w:ascii="Times New Roman" w:hAnsi="Times New Roman" w:eastAsia="宋体" w:cs="Times New Roman"/>
                <w:color w:val="000000" w:themeColor="text1"/>
                <w:kern w:val="0"/>
                <w:sz w:val="18"/>
                <w:szCs w:val="18"/>
              </w:rPr>
            </w:pPr>
          </w:p>
        </w:tc>
        <w:tc>
          <w:tcPr>
            <w:tcW w:w="4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30</w:t>
            </w:r>
          </w:p>
        </w:tc>
        <w:tc>
          <w:tcPr>
            <w:tcW w:w="32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粮食综合生产能力（万吨）</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50.86</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55</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31</w:t>
            </w:r>
          </w:p>
        </w:tc>
        <w:tc>
          <w:tcPr>
            <w:tcW w:w="3269" w:type="dxa"/>
            <w:vAlign w:val="center"/>
          </w:tcPr>
          <w:p>
            <w:pPr>
              <w:adjustRightInd w:val="0"/>
              <w:snapToGrid w:val="0"/>
              <w:spacing w:line="300" w:lineRule="exact"/>
              <w:ind w:firstLine="0" w:firstLineChars="0"/>
              <w:rPr>
                <w:rFonts w:ascii="Times New Roman" w:hAnsi="Times New Roman" w:eastAsia="宋体" w:cs="Times New Roman"/>
                <w:kern w:val="0"/>
                <w:sz w:val="18"/>
                <w:szCs w:val="18"/>
              </w:rPr>
            </w:pPr>
            <w:r>
              <w:rPr>
                <w:rFonts w:ascii="Times New Roman" w:hAnsi="Times New Roman" w:eastAsia="宋体" w:cs="Times New Roman"/>
                <w:kern w:val="0"/>
                <w:sz w:val="18"/>
                <w:szCs w:val="18"/>
              </w:rPr>
              <w:t>生产安全事故起数和死亡人数下降率（%）</w:t>
            </w:r>
          </w:p>
        </w:tc>
        <w:tc>
          <w:tcPr>
            <w:tcW w:w="1418"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[78]</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0" w:type="dxa"/>
            <w:vMerge w:val="continue"/>
            <w:tcBorders>
              <w:left w:val="single" w:color="auto" w:sz="4" w:space="0"/>
              <w:righ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p>
        </w:tc>
        <w:tc>
          <w:tcPr>
            <w:tcW w:w="494" w:type="dxa"/>
            <w:tcBorders>
              <w:left w:val="single" w:color="auto" w:sz="4" w:space="0"/>
            </w:tcBorders>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32</w:t>
            </w:r>
          </w:p>
        </w:tc>
        <w:tc>
          <w:tcPr>
            <w:tcW w:w="3269" w:type="dxa"/>
            <w:vAlign w:val="center"/>
          </w:tcPr>
          <w:p>
            <w:pPr>
              <w:adjustRightInd w:val="0"/>
              <w:snapToGrid w:val="0"/>
              <w:spacing w:line="300" w:lineRule="exact"/>
              <w:ind w:firstLine="0" w:firstLineChars="0"/>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群众安全感（%）</w:t>
            </w:r>
          </w:p>
        </w:tc>
        <w:tc>
          <w:tcPr>
            <w:tcW w:w="1418"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98.85</w:t>
            </w:r>
          </w:p>
        </w:tc>
        <w:tc>
          <w:tcPr>
            <w:tcW w:w="1134"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≥95</w:t>
            </w:r>
          </w:p>
        </w:tc>
        <w:tc>
          <w:tcPr>
            <w:tcW w:w="1161" w:type="dxa"/>
            <w:vAlign w:val="center"/>
          </w:tcPr>
          <w:p>
            <w:pPr>
              <w:adjustRightInd w:val="0"/>
              <w:snapToGrid w:val="0"/>
              <w:spacing w:line="300" w:lineRule="exact"/>
              <w:ind w:firstLine="0" w:firstLineChars="0"/>
              <w:jc w:val="center"/>
              <w:rPr>
                <w:rFonts w:ascii="Times New Roman" w:hAnsi="Times New Roman" w:eastAsia="宋体" w:cs="Times New Roman"/>
                <w:color w:val="000000" w:themeColor="text1"/>
                <w:kern w:val="0"/>
                <w:sz w:val="18"/>
                <w:szCs w:val="18"/>
              </w:rPr>
            </w:pPr>
            <w:r>
              <w:rPr>
                <w:rFonts w:ascii="Times New Roman" w:hAnsi="Times New Roman" w:eastAsia="宋体" w:cs="Times New Roman"/>
                <w:color w:val="000000" w:themeColor="text1"/>
                <w:kern w:val="0"/>
                <w:sz w:val="18"/>
                <w:szCs w:val="18"/>
              </w:rPr>
              <w:t>预期性</w:t>
            </w:r>
          </w:p>
        </w:tc>
      </w:tr>
    </w:tbl>
    <w:p>
      <w:pPr>
        <w:widowControl/>
        <w:ind w:firstLine="360"/>
        <w:jc w:val="left"/>
        <w:rPr>
          <w:rFonts w:ascii="Times New Roman" w:hAnsi="Times New Roman" w:cs="Times New Roman"/>
          <w:color w:val="000000" w:themeColor="text1"/>
          <w:szCs w:val="22"/>
        </w:rPr>
      </w:pPr>
      <w:r>
        <w:rPr>
          <w:rFonts w:hint="eastAsia" w:ascii="Times New Roman" w:hAnsi="Times New Roman" w:cs="Times New Roman"/>
          <w:color w:val="000000" w:themeColor="text1"/>
          <w:sz w:val="18"/>
          <w:szCs w:val="18"/>
        </w:rPr>
        <w:t>。</w:t>
      </w:r>
      <w:r>
        <w:rPr>
          <w:rFonts w:ascii="Times New Roman" w:hAnsi="Times New Roman" w:cs="Times New Roman"/>
          <w:color w:val="000000" w:themeColor="text1"/>
          <w:szCs w:val="22"/>
        </w:rPr>
        <w:br w:type="page"/>
      </w:r>
    </w:p>
    <w:p>
      <w:pPr>
        <w:pStyle w:val="44"/>
        <w:ind w:firstLine="640"/>
        <w:rPr>
          <w:rFonts w:ascii="Times New Roman" w:hAnsi="Times New Roman"/>
          <w:color w:val="000000" w:themeColor="text1"/>
        </w:rPr>
      </w:pPr>
      <w:bookmarkStart w:id="24" w:name="_Toc55236628"/>
    </w:p>
    <w:p>
      <w:pPr>
        <w:keepNext/>
        <w:keepLines/>
        <w:ind w:firstLine="0" w:firstLineChars="0"/>
        <w:jc w:val="center"/>
        <w:outlineLvl w:val="0"/>
        <w:rPr>
          <w:rFonts w:ascii="Times New Roman" w:hAnsi="Times New Roman" w:eastAsia="方正小标宋_GBK" w:cs="Times New Roman"/>
          <w:bCs/>
          <w:color w:val="000000" w:themeColor="text1"/>
          <w:kern w:val="44"/>
          <w:szCs w:val="44"/>
        </w:rPr>
      </w:pPr>
      <w:bookmarkStart w:id="25" w:name="_Toc66870172"/>
      <w:r>
        <w:rPr>
          <w:rFonts w:ascii="Times New Roman" w:hAnsi="Times New Roman" w:eastAsia="方正小标宋_GBK" w:cs="Times New Roman"/>
          <w:bCs/>
          <w:color w:val="000000" w:themeColor="text1"/>
          <w:kern w:val="44"/>
          <w:szCs w:val="44"/>
        </w:rPr>
        <w:t>第二篇  重点任务</w:t>
      </w:r>
      <w:bookmarkEnd w:id="24"/>
      <w:bookmarkEnd w:id="25"/>
    </w:p>
    <w:p>
      <w:pPr>
        <w:keepNext/>
        <w:keepLines/>
        <w:ind w:firstLine="0" w:firstLineChars="0"/>
        <w:jc w:val="center"/>
        <w:outlineLvl w:val="1"/>
        <w:rPr>
          <w:rFonts w:ascii="方正黑体_GBK" w:hAnsi="Times New Roman" w:eastAsia="方正黑体_GBK" w:cs="Times New Roman"/>
          <w:bCs/>
          <w:color w:val="000000" w:themeColor="text1"/>
          <w:szCs w:val="32"/>
        </w:rPr>
      </w:pPr>
      <w:bookmarkStart w:id="26" w:name="_Toc66870173"/>
      <w:bookmarkStart w:id="27" w:name="_Toc55236629"/>
      <w:r>
        <w:rPr>
          <w:rFonts w:hint="eastAsia" w:ascii="方正黑体_GBK" w:hAnsi="Times New Roman" w:eastAsia="方正黑体_GBK" w:cs="Times New Roman"/>
          <w:bCs/>
          <w:color w:val="000000" w:themeColor="text1"/>
          <w:szCs w:val="32"/>
        </w:rPr>
        <w:t>第四章</w:t>
      </w:r>
      <w:r>
        <w:rPr>
          <w:rFonts w:ascii="方正黑体_GBK" w:hAnsi="Times New Roman" w:eastAsia="方正黑体_GBK" w:cs="Times New Roman"/>
          <w:bCs/>
          <w:color w:val="000000" w:themeColor="text1"/>
          <w:szCs w:val="32"/>
        </w:rPr>
        <w:t xml:space="preserve">  </w:t>
      </w:r>
      <w:r>
        <w:rPr>
          <w:rFonts w:hint="eastAsia" w:ascii="方正黑体_GBK" w:hAnsi="Times New Roman" w:eastAsia="方正黑体_GBK" w:cs="Times New Roman"/>
          <w:bCs/>
          <w:color w:val="000000" w:themeColor="text1"/>
          <w:szCs w:val="32"/>
        </w:rPr>
        <w:t>构建产业科技创新体系</w:t>
      </w:r>
      <w:bookmarkEnd w:id="26"/>
      <w:bookmarkEnd w:id="27"/>
    </w:p>
    <w:p>
      <w:pPr>
        <w:ind w:firstLine="640"/>
        <w:rPr>
          <w:rFonts w:hAnsi="Times New Roman" w:cs="Times New Roman"/>
          <w:color w:val="000000" w:themeColor="text1"/>
          <w:szCs w:val="22"/>
        </w:rPr>
      </w:pPr>
      <w:r>
        <w:rPr>
          <w:rFonts w:hint="eastAsia" w:hAnsi="Times New Roman" w:cs="Times New Roman"/>
          <w:color w:val="000000" w:themeColor="text1"/>
          <w:szCs w:val="22"/>
        </w:rPr>
        <w:t>坚持创新在现代化建设全局中的核心地位，坚定不移深入实施创新驱动核心战略，以建设太湖湾科技创新带为“头号工程”，立足产业发展需要和人民生命健康需求，完善产业创新体系，建设国内一流、具有国际影响力的产业创新名城，成为沿沪宁（G42）产业创新带的重要极点。</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8" w:name="_Toc55236630"/>
      <w:bookmarkStart w:id="29" w:name="_Toc56155302"/>
      <w:bookmarkStart w:id="30" w:name="_Toc66870174"/>
      <w:r>
        <w:rPr>
          <w:rFonts w:ascii="Times New Roman" w:hAnsi="Times New Roman" w:eastAsia="方正楷体_GBK" w:cs="Times New Roman"/>
          <w:bCs/>
          <w:color w:val="000000" w:themeColor="text1"/>
          <w:szCs w:val="32"/>
        </w:rPr>
        <w:t>第一节  建设太湖湾科技创新带</w:t>
      </w:r>
      <w:bookmarkEnd w:id="28"/>
      <w:bookmarkEnd w:id="29"/>
      <w:bookmarkEnd w:id="30"/>
    </w:p>
    <w:p>
      <w:pPr>
        <w:ind w:firstLine="640"/>
        <w:rPr>
          <w:rFonts w:hAnsi="Times New Roman" w:cs="Times New Roman"/>
          <w:color w:val="000000" w:themeColor="text1"/>
          <w:szCs w:val="22"/>
        </w:rPr>
      </w:pPr>
      <w:r>
        <w:rPr>
          <w:rFonts w:hint="eastAsia" w:hAnsi="Times New Roman" w:cs="Times New Roman"/>
          <w:color w:val="000000" w:themeColor="text1"/>
          <w:szCs w:val="22"/>
        </w:rPr>
        <w:t>以建设国家级新区和新发展理念实践示范区为目标，以生态湖湾为纽带、科技创新为支撑、科产城人融合为动力，加快集聚海内外高端创新人才、创新企业、创新平台，构建优化湖湾发展生态系统和产业科技创新体系，建设成为具有国际竞争力的产业科技创新中心。到2025年，区域内高新技术产业产值占规模以上工业总产值比重比全市平均水平高15个百分点以上，区域内全社会研发投入占地区生产总值比重比全市平均水平高1个百分点。</w:t>
      </w:r>
    </w:p>
    <w:p>
      <w:pPr>
        <w:ind w:firstLine="640"/>
        <w:rPr>
          <w:rFonts w:hAnsi="Times New Roman" w:cs="Times New Roman"/>
          <w:color w:val="000000" w:themeColor="text1"/>
          <w:kern w:val="0"/>
          <w:szCs w:val="32"/>
        </w:rPr>
      </w:pPr>
      <w:r>
        <w:rPr>
          <w:rFonts w:hint="eastAsia" w:hAnsi="Times New Roman" w:cs="Times New Roman"/>
          <w:color w:val="000000" w:themeColor="text1"/>
          <w:szCs w:val="22"/>
        </w:rPr>
        <w:t>高起点规划建设。</w:t>
      </w:r>
      <w:r>
        <w:rPr>
          <w:rFonts w:hint="eastAsia" w:hAnsi="Times New Roman" w:cs="Times New Roman"/>
          <w:color w:val="000000" w:themeColor="text1"/>
          <w:kern w:val="0"/>
          <w:szCs w:val="32"/>
        </w:rPr>
        <w:t>按照“开放包容、产业高端、人才富集、创新引领、生态优先、制度改革”原则，落实苏南国家自主创新示范区一体化建设计划，主动融入长三角科技创新共同体建设进程，抢占关键核心技术和先导产业制高点，以一体化的思路推动人才、技术、资本等要素畅通交流，在更高起点、更高层次上打造新型生态科创城市典范。探索构建环太湖绿色低碳循环发展体系，建设拥湖生态标杆区。加快推动科技创新、产业发展、城市生态有机融合，建设科产城人融合示范区。聚焦新一代信息技术、生物医药、智能装备等重点领域，</w:t>
      </w:r>
      <w:r>
        <w:rPr>
          <w:rFonts w:hint="eastAsia" w:hAnsi="Times New Roman" w:cs="Times New Roman"/>
          <w:color w:val="000000" w:themeColor="text1"/>
          <w:szCs w:val="22"/>
        </w:rPr>
        <w:t>组织实</w:t>
      </w:r>
      <w:r>
        <w:rPr>
          <w:rFonts w:hint="eastAsia" w:hAnsi="Times New Roman" w:cs="Times New Roman"/>
          <w:color w:val="000000" w:themeColor="text1"/>
          <w:kern w:val="0"/>
          <w:szCs w:val="32"/>
        </w:rPr>
        <w:t>施一批应用基础研究项目、一批关键共性技术攻关项目、一批前瞻性产业创新项目</w:t>
      </w:r>
      <w:r>
        <w:rPr>
          <w:rFonts w:hint="eastAsia" w:hAnsi="Times New Roman" w:cs="Times New Roman"/>
          <w:color w:val="000000" w:themeColor="text1"/>
          <w:szCs w:val="22"/>
        </w:rPr>
        <w:t>和一批重大科技成果转化项目</w:t>
      </w:r>
      <w:r>
        <w:rPr>
          <w:rFonts w:hint="eastAsia" w:hAnsi="Times New Roman" w:cs="Times New Roman"/>
          <w:color w:val="000000" w:themeColor="text1"/>
          <w:kern w:val="0"/>
          <w:szCs w:val="32"/>
        </w:rPr>
        <w:t>，建设战略性新兴产业策源地。完善以人才价值为驱动的发展环境，打造苏南产教融合引领区和人才集聚核心区，建设科教智力集聚地。建立完善企业互联融通、产业跨界融合、园区生</w:t>
      </w:r>
      <w:r>
        <w:rPr>
          <w:rFonts w:hint="eastAsia" w:hAnsi="Times New Roman" w:cs="Times New Roman"/>
          <w:color w:val="000000" w:themeColor="text1"/>
          <w:szCs w:val="22"/>
        </w:rPr>
        <w:t>态赋能的新经济产业创新生态系统</w:t>
      </w:r>
      <w:r>
        <w:rPr>
          <w:rFonts w:hint="eastAsia" w:hAnsi="Times New Roman" w:cs="Times New Roman"/>
          <w:color w:val="000000" w:themeColor="text1"/>
          <w:kern w:val="0"/>
          <w:szCs w:val="32"/>
        </w:rPr>
        <w:t>，打造创业创新首选地</w:t>
      </w:r>
      <w:r>
        <w:rPr>
          <w:rFonts w:hint="eastAsia" w:hAnsi="Times New Roman" w:cs="Times New Roman"/>
          <w:color w:val="000000" w:themeColor="text1"/>
          <w:szCs w:val="22"/>
        </w:rPr>
        <w:t>。</w:t>
      </w:r>
    </w:p>
    <w:p>
      <w:pPr>
        <w:ind w:firstLine="640"/>
        <w:rPr>
          <w:rFonts w:hAnsi="Times New Roman" w:cs="Times New Roman"/>
          <w:color w:val="000000" w:themeColor="text1"/>
          <w:kern w:val="0"/>
          <w:szCs w:val="32"/>
        </w:rPr>
      </w:pPr>
      <w:r>
        <w:rPr>
          <w:rFonts w:hint="eastAsia" w:hAnsi="Times New Roman" w:cs="Times New Roman"/>
          <w:color w:val="000000" w:themeColor="text1"/>
          <w:szCs w:val="22"/>
        </w:rPr>
        <w:t>高强度要素集聚。统筹全市各类专项资金基金，设立太湖湾科技创新带发展基金，引导推动重大项目、重点企业、高端人才等创新资源在太湖湾科技创新带布局。探索实行新型产业用地管理制度，强化存量建设用地挖潜，盘活存量低效工业用地，拓展产业发展空间，布局“都市微智造”新型平台。</w:t>
      </w:r>
      <w:r>
        <w:rPr>
          <w:rFonts w:hint="eastAsia" w:hAnsi="Times New Roman" w:cs="Times New Roman"/>
          <w:color w:val="000000" w:themeColor="text1"/>
          <w:kern w:val="0"/>
          <w:szCs w:val="32"/>
        </w:rPr>
        <w:t>加快股权投资服务创新，培育发展股</w:t>
      </w:r>
      <w:r>
        <w:rPr>
          <w:rFonts w:hint="eastAsia" w:hAnsi="Times New Roman" w:cs="Times New Roman"/>
          <w:color w:val="000000" w:themeColor="text1"/>
          <w:szCs w:val="22"/>
        </w:rPr>
        <w:t>权投资市场，完善太湖新城金融商务街区功能，系统构建覆盖初创、成长和成熟</w:t>
      </w:r>
      <w:r>
        <w:rPr>
          <w:rFonts w:hint="eastAsia" w:hAnsi="Times New Roman" w:cs="Times New Roman"/>
          <w:szCs w:val="22"/>
        </w:rPr>
        <w:t>期</w:t>
      </w:r>
      <w:r>
        <w:rPr>
          <w:rFonts w:hint="eastAsia" w:hAnsi="Times New Roman" w:cs="Times New Roman"/>
          <w:color w:val="000000" w:themeColor="text1"/>
          <w:szCs w:val="22"/>
        </w:rPr>
        <w:t>的科技型企业</w:t>
      </w:r>
      <w:r>
        <w:rPr>
          <w:rFonts w:hint="eastAsia" w:hAnsi="Times New Roman" w:cs="Times New Roman"/>
          <w:color w:val="000000" w:themeColor="text1"/>
          <w:kern w:val="0"/>
          <w:szCs w:val="32"/>
        </w:rPr>
        <w:t>投融资服务体系。到2025年，区域内培育准独角兽企业数量占全市比重达到50%以上。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高效率组织运作。建</w:t>
      </w:r>
      <w:r>
        <w:rPr>
          <w:rFonts w:hint="eastAsia" w:hAnsi="Times New Roman" w:cs="Times New Roman"/>
          <w:color w:val="000000" w:themeColor="text1"/>
          <w:kern w:val="0"/>
          <w:szCs w:val="32"/>
        </w:rPr>
        <w:t>立健全太湖</w:t>
      </w:r>
      <w:r>
        <w:rPr>
          <w:rFonts w:hint="eastAsia" w:hAnsi="Times New Roman" w:cs="Times New Roman"/>
          <w:color w:val="000000" w:themeColor="text1"/>
          <w:szCs w:val="22"/>
        </w:rPr>
        <w:t>湾科技创新带统筹协同发展机制，推动统一规划落实、统一重大基础设施建设、统一重大产业政策和人才政策实施。加快区域内园区整合提升，探索各类园区载体、平台主体开展市场化运营，支持有条件的园区平台公司向现代企业转型和上市发展。建立“太湖湾科技创新带”统一品牌，统筹推进形象设计和宣传推介，建设太湖湾科技创新带规划展示馆，提高品牌影响力。</w:t>
      </w:r>
    </w:p>
    <w:p>
      <w:pPr>
        <w:ind w:firstLine="640"/>
        <w:rPr>
          <w:rFonts w:hAnsi="Times New Roman" w:cs="Times New Roman"/>
          <w:color w:val="000000" w:themeColor="text1"/>
          <w:kern w:val="0"/>
          <w:szCs w:val="32"/>
        </w:rPr>
      </w:pPr>
      <w:r>
        <w:rPr>
          <w:rFonts w:hint="eastAsia" w:hAnsi="Times New Roman" w:cs="Times New Roman"/>
          <w:color w:val="000000" w:themeColor="text1"/>
          <w:szCs w:val="22"/>
        </w:rPr>
        <w:t>高标准协同联动。</w:t>
      </w:r>
      <w:r>
        <w:rPr>
          <w:rFonts w:hint="eastAsia" w:hAnsi="Times New Roman" w:cs="Times New Roman"/>
          <w:color w:val="000000" w:themeColor="text1"/>
          <w:kern w:val="0"/>
          <w:szCs w:val="32"/>
        </w:rPr>
        <w:t>构建市域科创体系协同发展格局，重点推动太湖湾科技创新带内平台载体与全市各类开发区、产业园区协同联动发展。充分发挥太湖湾科技创新带引领辐射作用，加快技术、产品、服务、品牌和模式输出，与江阴、梁溪、锡山、惠山等地区开展科技创新、招商引资、产业转移的协同合作，实现创新链、人才链、资金链、政策链的融合贯通。加强与苏州、常州、湖州、嘉兴等环太湖城市联动，构建科技体制机制贯通、创新资源要素流通、科技基础设施联通、创新链与产业链融通的区域协同创新创业生态体系，共同打造环太湖科技创新圈。</w:t>
      </w:r>
    </w:p>
    <w:p>
      <w:pPr>
        <w:ind w:firstLine="0" w:firstLineChars="0"/>
        <w:rPr>
          <w:rFonts w:ascii="Times New Roman" w:hAnsi="Times New Roman" w:cs="Times New Roman"/>
          <w:color w:val="000000" w:themeColor="text1"/>
          <w:szCs w:val="22"/>
        </w:rPr>
      </w:pPr>
      <w:r>
        <w:rPr>
          <w:rFonts w:ascii="Times New Roman" w:hAnsi="Times New Roman" w:cs="Times New Roman"/>
          <w:b/>
          <w:bCs/>
          <w:color w:val="000000" w:themeColor="text1"/>
          <w:szCs w:val="22"/>
        </w:rPr>
        <w:pict>
          <v:shape id="_x0000_s1027" o:spid="_x0000_s1027" o:spt="202" type="#_x0000_t202" style="position:absolute;left:0pt;margin-left:0pt;margin-top:34.65pt;height:110.6pt;width:434pt;mso-position-horizontal-relative:margin;mso-wrap-distance-bottom:3.6pt;mso-wrap-distance-top:3.6pt;z-index:251659264;mso-width-relative:margin;mso-height-relative:margin;mso-height-percent:20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">
            <v:path/>
            <v:fill focussize="0,0"/>
            <v:stroke joinstyle="miter"/>
            <v:imagedata o:title=""/>
            <o:lock v:ext="edit"/>
            <v:textbox style="mso-fit-shape-to-text:t;">
              <w:txbxContent>
                <w:p>
                  <w:pPr>
                    <w:ind w:firstLine="480"/>
                    <w:jc w:val="center"/>
                    <w:rPr>
                      <w:rFonts w:ascii="方正黑体_GBK" w:eastAsia="方正黑体_GBK"/>
                      <w:sz w:val="24"/>
                      <w:szCs w:val="24"/>
                    </w:rPr>
                  </w:pPr>
                  <w:r>
                    <w:rPr>
                      <w:rFonts w:hint="eastAsia" w:ascii="方正黑体_GBK" w:eastAsia="方正黑体_GBK"/>
                      <w:sz w:val="24"/>
                      <w:szCs w:val="24"/>
                    </w:rPr>
                    <w:t>太湖湾科技创新带“一核十园多点”空间布局</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一核：太湖新城（蠡湖未来城）。</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十园：集成电路产业园、传感网产业园、生命科学产业园、环保产业园、新材料产业园、空港产业园、国家工业设计园、国家数字电影产业园、总部经济产业园等10个产业园区。</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多点：江南大学、东南大学无锡国际校区、无锡太湖学院等9所高校；公安部交通管理科学研究所、江苏物联网研究发展中心、江苏省电子信息产品质量监督检验研究院等12家科研院所；国家数学工程与先进计算重点实验室、国家食品科学与技术重点实验室、国家传感网工程技术研究中心、国家超级计算（无锡）中心、无锡小天鹅股份有限公司技术中心等22家重点实验室、工程技术研究中心、企业技术中心和创新平台。</w:t>
                  </w:r>
                </w:p>
              </w:txbxContent>
            </v:textbox>
            <w10:wrap type="topAndBottom"/>
          </v:shape>
        </w:pic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31" w:name="_Toc55236631"/>
      <w:bookmarkStart w:id="32" w:name="_Toc56155303"/>
      <w:bookmarkStart w:id="33" w:name="_Toc66870175"/>
      <w:r>
        <w:rPr>
          <w:rFonts w:ascii="Times New Roman" w:hAnsi="Times New Roman" w:eastAsia="方正楷体_GBK" w:cs="Times New Roman"/>
          <w:bCs/>
          <w:color w:val="000000" w:themeColor="text1"/>
          <w:szCs w:val="32"/>
        </w:rPr>
        <w:t>第二节  打造创新载体平台</w:t>
      </w:r>
      <w:bookmarkEnd w:id="31"/>
      <w:bookmarkEnd w:id="32"/>
      <w:bookmarkEnd w:id="33"/>
    </w:p>
    <w:p>
      <w:pPr>
        <w:ind w:firstLine="640"/>
        <w:rPr>
          <w:rFonts w:hAnsi="Times New Roman" w:cs="Times New Roman"/>
          <w:color w:val="000000" w:themeColor="text1"/>
          <w:szCs w:val="22"/>
        </w:rPr>
      </w:pPr>
      <w:r>
        <w:rPr>
          <w:rFonts w:hint="eastAsia" w:hAnsi="Times New Roman" w:cs="Times New Roman"/>
          <w:color w:val="000000" w:themeColor="text1"/>
          <w:szCs w:val="22"/>
        </w:rPr>
        <w:t>强化创新载体平台“蓄能”作用，培育国内一流科研平台和创新主体，着力打造重大科技创新策源地。到2025年，国家企业技术中心达到20家，具有国际影响力的重大创新平台达到10家。</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国家科技基础设施。抢抓国家重大科技基础设施建设机遇，在基础研究、关键核心技术等领域谋划布局重大科技基础设施。实施重大科技基础设施“领航计划”，推动国家超级计算（无锡）中心、国家“芯火”双创基地、国家集成电路特色工艺及封装测试创新中心、国家数字化设计与制造创新中心江苏中心、国家食品科学与技术重点实验室、国家材料试验机型式评价实验室等一批重大科技基础设施平台提档升级。以国家实验室为标准，聚焦高性能计算、深海技术科学等领域，主动承担国家重大科研任务，推动太湖实验室创建国家实验室。</w:t>
      </w:r>
    </w:p>
    <w:p>
      <w:pPr>
        <w:ind w:firstLine="640"/>
        <w:rPr>
          <w:rFonts w:hAnsi="Times New Roman" w:cs="Times New Roman"/>
          <w:color w:val="000000" w:themeColor="text1"/>
          <w:szCs w:val="22"/>
        </w:rPr>
      </w:pPr>
      <w:r>
        <w:rPr>
          <w:rFonts w:hint="eastAsia" w:hAnsi="Times New Roman" w:cs="Times New Roman"/>
          <w:color w:val="000000" w:themeColor="text1"/>
          <w:szCs w:val="22"/>
        </w:rPr>
        <w:t>布局重大技术创新平台。深化创新型城市建设，围绕产业链部署创新链，加快建设一批国家级和省级产业创新中心、技术创新中心、制造业创新中心、工程研究中心。重点推动无锡物联网创新促进中心、雪浪云国家工业互联网平台等重大创新平台建设，争创国家高性能计算应用技术创新中心。高标准建设江苏集成电路应用技术创新中心，着重开展设计、加工、制造、封装、测试分析、新材料开发等关键共性技术联合攻关，</w:t>
      </w:r>
      <w:r>
        <w:rPr>
          <w:rFonts w:hint="eastAsia" w:hAnsi="Times New Roman" w:cs="Times New Roman"/>
          <w:szCs w:val="22"/>
        </w:rPr>
        <w:t>打造</w:t>
      </w:r>
      <w:r>
        <w:rPr>
          <w:rFonts w:hint="eastAsia" w:hAnsi="Times New Roman" w:cs="Times New Roman"/>
          <w:color w:val="000000" w:themeColor="text1"/>
          <w:szCs w:val="22"/>
        </w:rPr>
        <w:t>微纳加工与测试表征实验室。加快建设国家级江苏（无锡）车联网先导区，统筹推进车联网（C-V2X）城市级规模应用示范和国家智能交通综合测试基地建设，创新商业运营模式，拓展应用场景，提高车联网（智慧网联汽车）产业技术创新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新型研发机构。实施新型研发机构引育计划，构建技术研究与产业应用需求深度融合发展的新型科研组织。对接产业发展需求，与国内高校和科研机构开展合作，共建一批集“科学研究、应用研发、人才培养”多重功能的高水平新型研发机构，推进无锡先进技术研究院、江苏省产业技术研究院智能集成电路设计技术研究所等</w:t>
      </w:r>
      <w:r>
        <w:rPr>
          <w:rFonts w:hint="eastAsia" w:hAnsi="Times New Roman" w:cs="Times New Roman"/>
          <w:szCs w:val="22"/>
        </w:rPr>
        <w:t>重点院所</w:t>
      </w:r>
      <w:r>
        <w:rPr>
          <w:rFonts w:hint="eastAsia" w:hAnsi="Times New Roman" w:cs="Times New Roman"/>
          <w:color w:val="000000" w:themeColor="text1"/>
          <w:szCs w:val="22"/>
        </w:rPr>
        <w:t>建设。</w:t>
      </w:r>
      <w:r>
        <w:rPr>
          <w:rFonts w:hint="eastAsia" w:hAnsi="Times New Roman" w:cs="Times New Roman"/>
          <w:szCs w:val="22"/>
        </w:rPr>
        <w:t>深化</w:t>
      </w:r>
      <w:r>
        <w:rPr>
          <w:rFonts w:hint="eastAsia" w:hAnsi="Times New Roman" w:cs="Times New Roman"/>
          <w:color w:val="000000" w:themeColor="text1"/>
          <w:szCs w:val="22"/>
        </w:rPr>
        <w:t>科技创新开放合作，吸引海外知名大学、科研机构、跨国公司来锡设立研发机构，支持外籍科学家和创新团队来锡开展技术合作，规划建设国际院士中心。支持创新主体建立海外研发基地，牵头或参与建立国际性产业技术创新联盟，鼓励开展离岸研发合作。到2025年，全市新增新型研发机构10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34" w:name="_Toc56155304"/>
      <w:bookmarkStart w:id="35" w:name="_Toc55236632"/>
      <w:bookmarkStart w:id="36" w:name="_Toc66870176"/>
      <w:r>
        <w:rPr>
          <w:rFonts w:ascii="Times New Roman" w:hAnsi="Times New Roman" w:eastAsia="方正楷体_GBK" w:cs="Times New Roman"/>
          <w:bCs/>
          <w:color w:val="000000" w:themeColor="text1"/>
          <w:szCs w:val="32"/>
        </w:rPr>
        <w:t>第三节  加强核心技术</w:t>
      </w:r>
      <w:bookmarkEnd w:id="34"/>
      <w:bookmarkEnd w:id="35"/>
      <w:r>
        <w:rPr>
          <w:rFonts w:ascii="Times New Roman" w:hAnsi="Times New Roman" w:eastAsia="方正楷体_GBK" w:cs="Times New Roman"/>
          <w:bCs/>
          <w:color w:val="000000" w:themeColor="text1"/>
          <w:szCs w:val="32"/>
        </w:rPr>
        <w:t>突破</w:t>
      </w:r>
      <w:bookmarkEnd w:id="36"/>
    </w:p>
    <w:p>
      <w:pPr>
        <w:ind w:firstLine="640"/>
        <w:rPr>
          <w:rFonts w:hAnsi="Times New Roman" w:cs="Times New Roman"/>
          <w:color w:val="000000" w:themeColor="text1"/>
          <w:szCs w:val="22"/>
        </w:rPr>
      </w:pPr>
      <w:r>
        <w:rPr>
          <w:rFonts w:hint="eastAsia" w:hAnsi="Times New Roman" w:cs="Times New Roman"/>
          <w:color w:val="000000" w:themeColor="text1"/>
          <w:szCs w:val="22"/>
        </w:rPr>
        <w:t>聚焦主攻方向，协同创新攻坚，力争在关键核心技术领域取得重大原创性突破。到2025年，科技进步贡献率达到68%，高新技术产业产值占规模以上工业总产值比重达到50%。</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重点产业技术攻关。围绕集成电路、高端装备、新能源、新材料、生物医药、空天海洋、人工智能等重点产业，组织实施关键核心技术攻关工程，力争形成一批具有自主知识产权的技术成果。重点突破高端通用芯片和专用芯片、基础软件和工业软件、控制系统、核心材料等领域的“卡脖子”问题，积极开展6G技术预研，前瞻性部署石墨烯、区块链、量子技术、深海极地、星际网络、</w:t>
      </w:r>
      <w:r>
        <w:rPr>
          <w:rFonts w:hint="eastAsia" w:hAnsi="Times New Roman" w:cs="Times New Roman"/>
          <w:szCs w:val="22"/>
        </w:rPr>
        <w:t>北斗、</w:t>
      </w:r>
      <w:r>
        <w:rPr>
          <w:rFonts w:hint="eastAsia" w:hAnsi="Times New Roman" w:cs="Times New Roman"/>
          <w:color w:val="000000" w:themeColor="text1"/>
          <w:szCs w:val="22"/>
        </w:rPr>
        <w:t>氢能及氢能源汽车、化合物半导体等未来前沿技术研发，支持企事业单位先行示范应用。全面推进“太湖之光”科技攻关计划，综合运用定向择优、招标、“揭榜挂帅”、股份合作等新型方式，建立完善激励机制，吸引各类企业机构人才共同参与，提高技术创新现代组织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基础研究。加快完善基础研究制度体系，鼓励支持产业龙头企业、创新领军企业、高水平院校、科研院所聚焦前沿创新和基础科学领域，联合开展基础研究、自由探索式研究，形成一批基础创新、源头创新科技成果。推动与江南大学等高校开展市校合作共建，加快建设高水平研究型创新型大学和高水平学科，提高源头创新供给能力。健全基础研究持续投入机制，加大对长期重点基础研究项目、重点团队和科研基地的稳定支持，落实对企业投入基础研究的税收优惠政策。组织实施重大科技、前沿引领技术、战略性先导科技应用基础研究专项，主动承担国家和省重大科技工程、重大基础研究专项。</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企业创新主体地位。充分发挥企业创新需求识别和成果转化主体作用，深化产学研协同创新行动，建立以企业为主体、市场为导向、产学研深度融合的产业科技创新体系，构建全产业链融通发展的企业生态圈。创新产学研合作模式，深入推进“一所一策”，深化高校院所与本地产业创新融合。鼓励校校、校所、校企间深度合作，支持企业牵头组建创新联合体。实施企业研发机构高质量提升计划，引导规模以上企业建立研发机构，鼓励有条件的企业组建行业研究院和产业研究院。深入实施创新型企业培育攻坚攀登计划，培育一批具有高成长性、爆发式、自组织的新经济企业，一批拥有核心自主知识产权、原创性技术的高新技术企业，一批具有全球竞争力的领军型平台化创新企业。到2025年，全市高新技术企业达到6500家，科技型中小企业备案累计入库企业13000家，培育雏鹰、瞪羚、准独角兽企业</w:t>
      </w:r>
      <w:r>
        <w:rPr>
          <w:rFonts w:hint="eastAsia" w:hAnsi="Times New Roman" w:cs="Times New Roman"/>
          <w:szCs w:val="22"/>
        </w:rPr>
        <w:t>分别达到</w:t>
      </w:r>
      <w:r>
        <w:rPr>
          <w:rFonts w:hint="eastAsia" w:hAnsi="Times New Roman" w:cs="Times New Roman"/>
          <w:color w:val="000000" w:themeColor="text1"/>
          <w:szCs w:val="22"/>
        </w:rPr>
        <w:t>4200家、2400家、225家。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37" w:name="_Toc55236633"/>
      <w:bookmarkStart w:id="38" w:name="_Toc66870177"/>
      <w:bookmarkStart w:id="39" w:name="_Toc56155305"/>
      <w:r>
        <w:rPr>
          <w:rFonts w:ascii="Times New Roman" w:hAnsi="Times New Roman" w:eastAsia="方正楷体_GBK" w:cs="Times New Roman"/>
          <w:bCs/>
          <w:color w:val="000000" w:themeColor="text1"/>
          <w:szCs w:val="32"/>
        </w:rPr>
        <w:t>第四节  营造优良创新生态环境</w:t>
      </w:r>
      <w:bookmarkEnd w:id="37"/>
      <w:bookmarkEnd w:id="38"/>
      <w:bookmarkEnd w:id="39"/>
    </w:p>
    <w:p>
      <w:pPr>
        <w:ind w:firstLine="640"/>
        <w:rPr>
          <w:rFonts w:hAnsi="Times New Roman" w:cs="Times New Roman"/>
          <w:color w:val="000000" w:themeColor="text1"/>
          <w:szCs w:val="22"/>
        </w:rPr>
      </w:pPr>
      <w:r>
        <w:rPr>
          <w:rFonts w:hint="eastAsia" w:hAnsi="Times New Roman" w:cs="Times New Roman"/>
          <w:color w:val="000000" w:themeColor="text1"/>
          <w:szCs w:val="22"/>
        </w:rPr>
        <w:t>遵循科技创新规律，大力破除束缚创新的体制机制障碍，营造开放包容、公平竞争、充满活力的科技创新氛围。</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科技管理体制。深入推进科技管理体制机制改革，健全科技治理体系，优化科技规划体系和运行机制。推动科技创新领域地方立法，营造鼓励和保障科技创新的法治环境。健全职务科技成果产权制度，强化科研诚信体系建设。主动对接国家基础研究、技术创新和产业创新方向，推动重点领域项目、基地、人才、资金一体化配置。实施科研项目分类评价，基础前沿研究类项目突出创新性成果和人才培养考核导向，产业技术研发类项目突出企业主体和市场评价导向，公益公共类项目突出需求和应用导向。优化科技奖励项目，完善科技评价机制，实行以质量、贡献、绩效为核心导向的分类评价制度。改革科技经费支持机制，实行市级科技经费使用“负面清单”制度，重点支持研发众包、云设计等新型科研组织模式，扩大承担财政科研项目单位经费使用自主权。</w:t>
      </w:r>
    </w:p>
    <w:p>
      <w:pPr>
        <w:ind w:firstLine="640"/>
        <w:rPr>
          <w:rFonts w:hAnsi="Times New Roman" w:cs="Times New Roman"/>
          <w:color w:val="000000" w:themeColor="text1"/>
          <w:szCs w:val="22"/>
        </w:rPr>
      </w:pPr>
      <w:r>
        <w:rPr>
          <w:rFonts w:hint="eastAsia" w:hAnsi="Times New Roman" w:cs="Times New Roman"/>
          <w:color w:val="000000" w:themeColor="text1"/>
          <w:szCs w:val="22"/>
        </w:rPr>
        <w:t>促进先进成果转化。总结推广苏南国家科技成果转移转化示范区建设经验，聚焦前瞻性重大科技成果领域，支持企业与高校院所合作共建科技成果产业化基地，畅通技术转移转化渠道。加强高校院所技术转移体系建设，推动华中科技大学无锡研究院、清华大学无锡应用技术研究院、上海大学无锡产业研究院、湖南大学智能控制研究院发展</w:t>
      </w:r>
      <w:r>
        <w:rPr>
          <w:rFonts w:hint="eastAsia" w:hAnsi="Times New Roman" w:cs="Times New Roman"/>
          <w:szCs w:val="22"/>
        </w:rPr>
        <w:t>。实施技术转移服务机构培育计划，</w:t>
      </w:r>
      <w:r>
        <w:rPr>
          <w:rFonts w:hint="eastAsia" w:hAnsi="Times New Roman" w:cs="Times New Roman"/>
          <w:color w:val="000000" w:themeColor="text1"/>
          <w:szCs w:val="22"/>
        </w:rPr>
        <w:t>吸引国内外一流高校、科研院所来锡建立高水平技术转移机构，支持高校和科研院所技术转移机构开展市场化改革，鼓励发展科技中介、技术经纪、专利服务、知识产权运营、咨询评估等机构组织，加强专业化队伍建设。搭建线上线下相结合的云上技术交易平台，构建更加完善的技术交易市场。创新财政投入方式，建立成果转化多元化投入支持机制。</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强化知识产权保护。</w:t>
      </w:r>
      <w:r>
        <w:rPr>
          <w:rFonts w:hint="eastAsia" w:hAnsi="Times New Roman" w:cs="Times New Roman"/>
          <w:szCs w:val="22"/>
        </w:rPr>
        <w:t>加快建设国家知识产权运营服务体系建设重点城市，高水平举办中国（无锡）国际设计博览会等重大活动，引进培育专业化知识产权机构。实施知识产权强企推进计划，培育支持知识产权密集型企业争创国家知识产权优势和示范企业。实施知识产权金融赋能工程，构建要素齐全、运转高效、服务优质的知识产权运营服务体系。完善知识产权维权援助体系，建成中国（无锡）知识产权保护中心，推进中国（无锡）知识产权维权援助中心建设。</w:t>
      </w:r>
      <w:r>
        <w:rPr>
          <w:rFonts w:hint="eastAsia" w:hAnsi="Times New Roman" w:cs="Times New Roman"/>
          <w:color w:val="000000" w:themeColor="text1"/>
          <w:szCs w:val="22"/>
        </w:rPr>
        <w:t>加强知识产权行政执法，建立健全知识产权侵权查处快速反应机制和多元化纠纷解决机制，强化行政执法与司法衔接，实行知识产权惩罚性赔偿制度，严厉打击侵犯知识产权违法行为。实施高价值专利培育升级工程，深入推进重点产业和新兴产业专利导航，鼓励企业加强标准必要专利建设，支持建立专利池共享机制。推行知识产权国际化发展，鼓励企业加快知识产权国际布局，为企业提供知识产权侵权预警、海外维权服务。</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科技金融体系。加大金融支持创新力度，构建由银行、证券、信托、保理和投资基金等机构组成的科技金融服务战略联盟，建立适应创新链需求、覆盖创新全生命周期的科技金融服务体系。加快建设省级科技金融合作创新示范区，培育一批市场化科技银行、科技金融专营机构，鼓励银行探索建立科技企业金融服务中心，创新金融产品和服务，扩大“锡科贷”“苏科贷”等信贷业务投放规模，争创国家科创金融改革试验区。优化科技保险政策环境，拓宽科技保险服务领域，提升科技保险服务水平，创建国家科技保险创新示范城市。鼓励各类投资基金投向科技型企业，支持市场资本进入创新链上游环节，提升发展天使投资、创业投资、产业投资基金等科技金融服务。深化与上海证券交易所、深圳证券交易所等资本市场合作，发挥长三角资本市场无锡分中心等平台作用，鼓励支持金融机构为科技型企业上市提供专业化服务。到2025年，全市在科创板上市企业累计达到30家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打造创新创业空间。实施科创载体提质增效计划，引导科创载体市场化发展，提供精准化、专业化的创新创业服务。完善“众创空间—孵化器—加速器”创业孵化链条，提供从项目孵化到产业化的全链条、全周期创业服务，形成一批特色鲜明、活力强劲的众创社区、创新街区。鼓励和支持龙头企业和领军型企业建设专业化众创空间、开放式车间和中试基地等创新创业平台，促进研发资源及上下游产业资源开放共享。完善双创载体服务支持和开放体系，建立规范有序的升级或退出机制。建设科创载体智慧管理服务平台，实现运营集成化、服务平台化。深入实施全民科学素质行动计划纲要，推进科技馆规划建设，开展全国和省科普示范市（县）区创建活动，培育科技创新后备力量。弘扬科学精神和工匠精神，加强科普宣传，营造崇尚创新的社会氛围。到2025年，累计建成众创空间、孵化器200家以上。</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40" w:name="_Toc55236634"/>
      <w:bookmarkStart w:id="41" w:name="_Toc56155306"/>
      <w:bookmarkStart w:id="42" w:name="_Toc66870178"/>
      <w:r>
        <w:rPr>
          <w:rFonts w:ascii="Times New Roman" w:hAnsi="Times New Roman" w:eastAsia="方正楷体_GBK" w:cs="Times New Roman"/>
          <w:bCs/>
          <w:color w:val="000000" w:themeColor="text1"/>
          <w:szCs w:val="32"/>
        </w:rPr>
        <w:t>第五节  激发高水平人才活力</w:t>
      </w:r>
      <w:bookmarkEnd w:id="40"/>
      <w:bookmarkEnd w:id="41"/>
      <w:bookmarkEnd w:id="42"/>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32"/>
        </w:rPr>
        <w:t>深化人才发展体制机制改革，加快构建科学规范、开放包容、运行高效的人才发展治理体系和“五坚持五提升”</w:t>
      </w:r>
      <w:r>
        <w:rPr>
          <w:rStyle w:val="27"/>
          <w:rFonts w:hint="eastAsia" w:hAnsi="Times New Roman" w:cs="Times New Roman"/>
          <w:color w:val="000000" w:themeColor="text1"/>
          <w:szCs w:val="32"/>
        </w:rPr>
        <w:footnoteReference w:id="0"/>
      </w:r>
      <w:r>
        <w:rPr>
          <w:rFonts w:hint="eastAsia" w:hAnsi="Times New Roman" w:cs="Times New Roman"/>
          <w:color w:val="000000" w:themeColor="text1"/>
          <w:szCs w:val="32"/>
        </w:rPr>
        <w:t>的人才工作体系，激发各类人才创新创业创造活力，建设国内一流、具有国际影响力的人才发展高地。到2025年，全市人才资源总量达到220万人以上，高层次人才总量达到18万人以上，专业技术人才总量达到120万人以上，高技能人才总量达到55万人以上。</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落实党管人才原则。</w:t>
      </w:r>
      <w:r>
        <w:rPr>
          <w:rFonts w:hint="eastAsia" w:hAnsi="Times New Roman" w:cs="Times New Roman"/>
          <w:color w:val="000000" w:themeColor="text1"/>
          <w:szCs w:val="32"/>
        </w:rPr>
        <w:t>贯彻尊重劳动、尊重知识、尊重人才、尊重创造的方针，充分发挥党委（党组）领导核心作用，构建多部门、多层级、多元素协同推进的人才工作机制，开创联动推进、协同创新、质效并举的新局面。优化升级人才工作“书记项目”，更大力度落实重大事项、推进重点工作、解决重要问题。</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提升人才政策竞争力。</w:t>
      </w:r>
      <w:r>
        <w:rPr>
          <w:rFonts w:hint="eastAsia" w:hAnsi="Times New Roman" w:cs="Times New Roman"/>
          <w:color w:val="000000" w:themeColor="text1"/>
          <w:szCs w:val="32"/>
        </w:rPr>
        <w:t>创新实施“太湖人才”计划，持续提高人才政策竞争力。围绕重点产业领域、灵活就业领域和新业态新模式发展要求，实行“一行业领域一人才规划”，有针对性地促进产业人才的快速集聚和高效产出，培育集聚领军人才、创新人才、青年人才和技能人才。探索实施“一域一策”，鼓励支持各类用人主体单位参与国际人才竞争，推动重大活动、重点平台、重要服务设施落户无锡。加强长三角人才合作交流，积极参与G42沪宁沿线人才创新走廊建设，聚焦重点城市、重点领域、重点人才群体，以市场一体化承接溢出效应，实现人才共享、产才融合。</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强化人才金融支撑。</w:t>
      </w:r>
      <w:r>
        <w:rPr>
          <w:rFonts w:hint="eastAsia" w:hAnsi="Times New Roman" w:cs="Times New Roman"/>
          <w:color w:val="000000" w:themeColor="text1"/>
          <w:szCs w:val="32"/>
        </w:rPr>
        <w:t>建立多元化人才投入机制，健全“拨、投、贷、保、险”联动的人才金融支撑体系。深入实施“人才投”，发挥太湖人才基金撬动引领作用，完善支持初创企业发展、服务人才急需的资金保障体系。优化实施“人才贷”，加大初创期人才企业的贷款额度、贴息力度，有效降低企业融资成本。积极开展“人才保”，重点对有技术、有市场的企业项目提供产业保险，鼓励开展人才产品首台（套）保险，支持人才制作产品首购首用。加快实施人才健康险，为人才分类提供医疗保障、健康服务，解除人才后顾之忧。</w:t>
      </w:r>
    </w:p>
    <w:p>
      <w:pPr>
        <w:adjustRightInd w:val="0"/>
        <w:snapToGrid w:val="0"/>
        <w:spacing w:line="620" w:lineRule="atLeast"/>
        <w:ind w:firstLine="640"/>
        <w:rPr>
          <w:rFonts w:hAnsi="Times New Roman" w:cs="Times New Roman"/>
          <w:color w:val="000000" w:themeColor="text1"/>
          <w:szCs w:val="32"/>
        </w:rPr>
      </w:pPr>
      <w:r>
        <w:rPr>
          <w:rFonts w:hint="eastAsia" w:hAnsi="Times New Roman" w:cs="Times New Roman"/>
          <w:color w:val="000000" w:themeColor="text1"/>
          <w:szCs w:val="22"/>
        </w:rPr>
        <w:t>打响城市引才品牌。</w:t>
      </w:r>
      <w:r>
        <w:rPr>
          <w:rFonts w:hint="eastAsia" w:hAnsi="Times New Roman" w:cs="Times New Roman"/>
          <w:color w:val="000000" w:themeColor="text1"/>
          <w:szCs w:val="32"/>
        </w:rPr>
        <w:t>围绕建设最优人才生态、最佳人才栖所，加强“锡引”工程建设，持续办好太湖人才峰会、“太湖杯”国际精英创业挑战赛等重大赛事。提升人才服务水平，加快市、市（县）区高层次人才一站式服务中心建设，提高“物联网+人才服务”能力，开展多层次人才交流合作、成果展示交易、项目路演对接活动，激发人才活力。提升生活服务水平，为各类人才提供安居落户、子女入学、卫生健康、文化旅游、出入境等优质服务。提升品牌建设水平，强化“无比爱才、锡望您来”城市引才品牌整体宣传，提高无锡在海内外人才中的知名度和美誉度。</w:t>
      </w:r>
    </w:p>
    <w:p>
      <w:pPr>
        <w:adjustRightInd w:val="0"/>
        <w:snapToGrid w:val="0"/>
        <w:spacing w:line="620" w:lineRule="atLeast"/>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43" w:name="_Toc55236635"/>
      <w:bookmarkStart w:id="44" w:name="_Toc66870179"/>
      <w:r>
        <w:rPr>
          <w:rFonts w:ascii="Times New Roman" w:hAnsi="Times New Roman" w:eastAsia="方正黑体_GBK" w:cs="Times New Roman"/>
          <w:bCs/>
          <w:color w:val="000000" w:themeColor="text1"/>
          <w:szCs w:val="32"/>
        </w:rPr>
        <w:t>第五章  打造现代产业发展新高地</w:t>
      </w:r>
      <w:bookmarkEnd w:id="43"/>
      <w:bookmarkEnd w:id="44"/>
    </w:p>
    <w:p>
      <w:pPr>
        <w:ind w:firstLine="640"/>
        <w:rPr>
          <w:rFonts w:hAnsi="Times New Roman" w:cs="Times New Roman"/>
          <w:color w:val="000000" w:themeColor="text1"/>
          <w:szCs w:val="22"/>
        </w:rPr>
      </w:pPr>
      <w:r>
        <w:rPr>
          <w:rFonts w:hint="eastAsia" w:hAnsi="Times New Roman" w:cs="Times New Roman"/>
          <w:color w:val="000000" w:themeColor="text1"/>
          <w:szCs w:val="22"/>
        </w:rPr>
        <w:t>坚持把发展着力点放在实体经济上，坚定不移纵深实施产业强市主导战略，深入推进以战略性新兴产业为先导、先进制造业为主体、现代服务业为支撑的自主可控现代产业体系建设，打好产业基础高级化、产业链现代化攻坚战，推动产业智能化改造、数字化转型，打造具有国际竞争力的现代产业新高地。</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方正楷体_GBK" w:hAnsi="Times New Roman" w:eastAsia="方正楷体_GBK" w:cs="Times New Roman"/>
          <w:bCs/>
          <w:color w:val="000000" w:themeColor="text1"/>
          <w:szCs w:val="32"/>
        </w:rPr>
      </w:pPr>
      <w:bookmarkStart w:id="45" w:name="_Toc55236636"/>
      <w:bookmarkStart w:id="46" w:name="_Toc66870180"/>
      <w:r>
        <w:rPr>
          <w:rFonts w:hint="eastAsia" w:ascii="方正楷体_GBK" w:hAnsi="Times New Roman" w:eastAsia="方正楷体_GBK" w:cs="Times New Roman"/>
          <w:bCs/>
          <w:color w:val="000000" w:themeColor="text1"/>
          <w:szCs w:val="32"/>
        </w:rPr>
        <w:t>第一节</w:t>
      </w:r>
      <w:r>
        <w:rPr>
          <w:rFonts w:ascii="方正楷体_GBK" w:hAnsi="Times New Roman" w:eastAsia="方正楷体_GBK" w:cs="Times New Roman"/>
          <w:bCs/>
          <w:color w:val="000000" w:themeColor="text1"/>
          <w:szCs w:val="32"/>
        </w:rPr>
        <w:t xml:space="preserve">  </w:t>
      </w:r>
      <w:r>
        <w:rPr>
          <w:rFonts w:hint="eastAsia" w:ascii="方正楷体_GBK" w:hAnsi="Times New Roman" w:eastAsia="方正楷体_GBK" w:cs="Times New Roman"/>
          <w:bCs/>
          <w:color w:val="000000" w:themeColor="text1"/>
          <w:szCs w:val="32"/>
        </w:rPr>
        <w:t>深化“四沿”产业布局</w:t>
      </w:r>
      <w:bookmarkEnd w:id="45"/>
      <w:bookmarkEnd w:id="46"/>
    </w:p>
    <w:p>
      <w:pPr>
        <w:ind w:firstLine="640"/>
        <w:rPr>
          <w:rFonts w:hAnsi="Times New Roman" w:cs="Times New Roman"/>
          <w:color w:val="000000" w:themeColor="text1"/>
          <w:szCs w:val="22"/>
        </w:rPr>
      </w:pPr>
      <w:r>
        <w:rPr>
          <w:rFonts w:hint="eastAsia" w:hAnsi="Times New Roman" w:cs="Times New Roman"/>
          <w:color w:val="000000" w:themeColor="text1"/>
          <w:szCs w:val="22"/>
        </w:rPr>
        <w:t>依托产业发展现实基础和资源禀赋，坚持生态优先、绿色发展，深入完善沿江、沿湖、沿路、沿河产业布局，形成产业发展相对集聚集约、产城人深度融合的产业空间结构。</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江绿色高端产业发展。以江阴长江生态安全示范区建设为核心，重点发展智能装备、新材料、新能源、生物医药等高端制造业和旅游休闲、公共保税物流等现代服务业，腾退高危险高耗能高污染产业，提高江阴沿江地区产业绿色化安全化发展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湖科技生态产业发展。突出沿太湖地区的山水自然禀赋优势和产业创新资源集聚优势，以太湖湾科技创新带为载体，着力发展科技创新、旅游休闲、先进制造、金融商务、文化创意等绿色低碳产业，建设长三角地区“两山理论”现实转化实践区，打造世界级生态湖区和创新湖区。</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路先进制造产业发展。持续推动产业向京沪、沪宁、宁杭高速公路沿线地区集聚，重点发展物联网、集成电路、装备制造、高端纺织、节能环保、新能源、汽车零部件等先进制造业以及现代物流、城市配送、电子商务等生产性服务业，</w:t>
      </w:r>
      <w:r>
        <w:rPr>
          <w:rFonts w:hint="eastAsia" w:hAnsi="Times New Roman" w:cs="Times New Roman"/>
          <w:szCs w:val="22"/>
        </w:rPr>
        <w:t>促进</w:t>
      </w:r>
      <w:r>
        <w:rPr>
          <w:rFonts w:hint="eastAsia" w:hAnsi="Times New Roman" w:cs="Times New Roman"/>
          <w:color w:val="000000" w:themeColor="text1"/>
          <w:szCs w:val="22"/>
        </w:rPr>
        <w:t>产业集聚集约、高端</w:t>
      </w:r>
      <w:r>
        <w:rPr>
          <w:rFonts w:hint="eastAsia" w:hAnsi="Times New Roman" w:cs="Times New Roman"/>
          <w:szCs w:val="22"/>
        </w:rPr>
        <w:t>高效</w:t>
      </w:r>
      <w:r>
        <w:rPr>
          <w:rFonts w:hint="eastAsia" w:hAnsi="Times New Roman" w:cs="Times New Roman"/>
          <w:color w:val="000000" w:themeColor="text1"/>
          <w:szCs w:val="22"/>
        </w:rPr>
        <w:t>发展。</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沿河文化旅游产业发展。深入推动大运河文化带保护传承利用，充分挖掘清名桥、南长街、三里桥、环城古运河、惠山古镇、伯渎港、梅村、荣巷、荡口等地区的传统文化资源，促进文化、旅游、商贸、商务、体育等产业深度融合，彰显运河文化底蕴和江南水乡特色。</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47" w:name="_Toc66870181"/>
      <w:bookmarkStart w:id="48" w:name="_Toc55236637"/>
      <w:r>
        <w:rPr>
          <w:rFonts w:ascii="Times New Roman" w:hAnsi="Times New Roman" w:eastAsia="方正楷体_GBK" w:cs="Times New Roman"/>
          <w:bCs/>
          <w:color w:val="000000" w:themeColor="text1"/>
          <w:szCs w:val="32"/>
        </w:rPr>
        <w:t>第二节  推进产业基础高级化</w:t>
      </w:r>
      <w:bookmarkEnd w:id="47"/>
    </w:p>
    <w:p>
      <w:pPr>
        <w:ind w:firstLine="640"/>
        <w:rPr>
          <w:rFonts w:hAnsi="Times New Roman" w:cs="Times New Roman"/>
          <w:color w:val="000000" w:themeColor="text1"/>
          <w:szCs w:val="22"/>
        </w:rPr>
      </w:pPr>
      <w:r>
        <w:rPr>
          <w:rFonts w:hint="eastAsia" w:hAnsi="Times New Roman" w:cs="Times New Roman"/>
          <w:color w:val="000000" w:themeColor="text1"/>
          <w:szCs w:val="22"/>
        </w:rPr>
        <w:t>聚焦自主可控、安全高效，健全产业基础支撑能力，提高传统优势产业信息化技术化水平，筑牢实体经济发展根基，打造制造业高质量发展示范区。</w:t>
      </w:r>
    </w:p>
    <w:p>
      <w:pPr>
        <w:ind w:firstLine="640"/>
        <w:rPr>
          <w:rFonts w:hAnsi="Times New Roman" w:cs="Times New Roman"/>
          <w:color w:val="000000" w:themeColor="text1"/>
          <w:szCs w:val="22"/>
        </w:rPr>
      </w:pPr>
      <w:r>
        <w:rPr>
          <w:rFonts w:hint="eastAsia" w:hAnsi="Times New Roman" w:cs="Times New Roman"/>
          <w:color w:val="000000" w:themeColor="text1"/>
          <w:szCs w:val="22"/>
        </w:rPr>
        <w:t>推动产业基础再造。针对重点产业链的核心基础零部件（元器件）、关键基础材料、先进基础工艺、产业技术基础和基础软件等“五基”薄弱环节，滚动实施一批工业强基项目，提高产业技术自给率和安全性。围绕高端芯片等核心基础零部件、大尺寸集成电路硅片等关键基础材料、精密及超精密加工等领域，突破一批基础零部件和材料技术难题，推广应用一批先进基础工艺，提高产品可靠性和一致性。实施高端装备赶超工程，建立短板装备清单和项目库，以智能化、高端化、成套化为方向，深化完善首台（套）、首批次、首版次等政策，加快首台（套）重大装备推广应用力度，开展短板装备自研自用。</w:t>
      </w:r>
    </w:p>
    <w:p>
      <w:pPr>
        <w:ind w:firstLine="640"/>
        <w:jc w:val="left"/>
        <w:rPr>
          <w:rFonts w:hAnsi="Times New Roman" w:cs="Times New Roman"/>
          <w:color w:val="000000" w:themeColor="text1"/>
          <w:szCs w:val="22"/>
        </w:rPr>
      </w:pPr>
      <w:r>
        <w:rPr>
          <w:rFonts w:hint="eastAsia" w:hAnsi="Times New Roman" w:cs="Times New Roman"/>
          <w:color w:val="000000" w:themeColor="text1"/>
          <w:szCs w:val="22"/>
        </w:rPr>
        <w:t>提升传统优势产业发展水平。强化分类施策，支持机械、冶金、化工、纺织等优势传统产业通过智能化、绿色化、高端化实现升级提升。推进信息化与工业化深度融合，积极参与国家智能制造标准体系建设，鼓励企业对产品生命周期全过程进行数字化、网络化、智能化改造，突出柔性生产与</w:t>
      </w:r>
      <w:r>
        <w:rPr>
          <w:rFonts w:hint="eastAsia" w:hAnsi="Times New Roman" w:cs="Times New Roman"/>
          <w:szCs w:val="22"/>
        </w:rPr>
        <w:t>精益</w:t>
      </w:r>
      <w:r>
        <w:rPr>
          <w:rFonts w:hint="eastAsia" w:hAnsi="Times New Roman" w:cs="Times New Roman"/>
          <w:color w:val="000000" w:themeColor="text1"/>
          <w:szCs w:val="22"/>
        </w:rPr>
        <w:t>管理，夯实企业智能化建设基础。建立完善智能制造创新体系，发展智能制造新模式，引导鼓励企业开展智能制造技术研发，促进智能制造广泛应用，建设一批智能工厂、智能车间，培育智能制造标杆企业。支持企业加大设备更新和技改投入，滚动推进投资超千万元技术改造项目建设，重点推广共性适用的新技术、新工艺、新材料和新标准，对关键领域、薄弱环节和共性问题等开展整体技术改造，实现产业技术装备水平快速提升。健全市场化、法治化化解过剩产业长效机制，畅通落后产能退出渠道，促进“僵尸企业”有序出清。</w:t>
      </w:r>
    </w:p>
    <w:p>
      <w:pPr>
        <w:ind w:firstLine="640"/>
        <w:rPr>
          <w:rFonts w:hAnsi="Times New Roman" w:cs="Times New Roman"/>
          <w:color w:val="000000" w:themeColor="text1"/>
          <w:szCs w:val="22"/>
        </w:rPr>
      </w:pPr>
      <w:r>
        <w:rPr>
          <w:rFonts w:hint="eastAsia" w:hAnsi="Times New Roman" w:cs="Times New Roman"/>
          <w:szCs w:val="22"/>
        </w:rPr>
        <w:t>实施质量提升行动</w:t>
      </w:r>
      <w:r>
        <w:rPr>
          <w:rFonts w:hint="eastAsia" w:hAnsi="Times New Roman" w:cs="Times New Roman"/>
          <w:color w:val="000000" w:themeColor="text1"/>
          <w:szCs w:val="22"/>
        </w:rPr>
        <w:t>。深化质量强市示范城市建设，实施增品种、提品质、创品牌“三品”战略，提高质量基础设施建设水平。全面实施标准化战略，支持国际国内标准对接，优化标准研制—实施—评价服务模式。</w:t>
      </w:r>
      <w:r>
        <w:rPr>
          <w:rFonts w:hint="eastAsia" w:hAnsi="Times New Roman" w:cs="Times New Roman"/>
          <w:szCs w:val="22"/>
        </w:rPr>
        <w:t>加强质量管理创新，</w:t>
      </w:r>
      <w:r>
        <w:rPr>
          <w:rFonts w:hint="eastAsia" w:hAnsi="Times New Roman" w:cs="Times New Roman"/>
          <w:color w:val="000000" w:themeColor="text1"/>
          <w:szCs w:val="22"/>
        </w:rPr>
        <w:t>聚焦先进制造业集群开展关键技术质量攻关、质量比对和质量合格率提升等三项行动，推行企业首席质量官制度。制定中小微企业质量管理</w:t>
      </w:r>
      <w:r>
        <w:rPr>
          <w:rFonts w:hint="eastAsia" w:hAnsi="Times New Roman" w:cs="Times New Roman"/>
          <w:szCs w:val="22"/>
        </w:rPr>
        <w:t>指南和卓越绩效评价准则，为企业全面提高质量管理能力提供指引。</w:t>
      </w:r>
      <w:r>
        <w:rPr>
          <w:rFonts w:hint="eastAsia" w:hAnsi="Times New Roman" w:cs="Times New Roman"/>
          <w:color w:val="000000" w:themeColor="text1"/>
          <w:szCs w:val="22"/>
        </w:rPr>
        <w:t>引导企业制定实施品牌战略规划，支持行业协会为品牌建设提供专业服务，完善品牌建设标准、评价和推广体系，引进培育国际化认证机构，构筑无锡品牌群体。</w:t>
      </w: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pict>
          <v:shape id="文本框 10" o:spid="_x0000_s1028" o:spt="202" type="#_x0000_t202" style="position:absolute;left:0pt;margin-top:0.15pt;height:218.25pt;width:434pt;mso-position-horizontal:right;mso-position-horizontal-relative:margin;z-index:251663360;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">
            <v:path/>
            <v:fill focussize="0,0"/>
            <v:stroke joinstyle="miter"/>
            <v:imagedata o:title=""/>
            <o:lock v:ext="edit"/>
            <v:textbox>
              <w:txbxContent>
                <w:p>
                  <w:pPr>
                    <w:ind w:firstLine="0" w:firstLineChars="0"/>
                    <w:jc w:val="center"/>
                    <w:rPr>
                      <w:rFonts w:ascii="方正黑体_GBK" w:eastAsia="方正黑体_GBK"/>
                      <w:sz w:val="24"/>
                    </w:rPr>
                  </w:pPr>
                  <w:r>
                    <w:rPr>
                      <w:rFonts w:hint="eastAsia" w:ascii="方正黑体_GBK" w:eastAsia="方正黑体_GBK"/>
                      <w:sz w:val="24"/>
                    </w:rPr>
                    <w:t>质量强市工程</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质量品牌“高峰”计划：新增中国质量奖1个、省长质量奖3个。</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标准“领航”计划：新增省级以上标准创新贡献奖3个、省级以上标准化试点10家；新增主导和参与制修订国际、国家、行业标准300项以上。</w:t>
                  </w:r>
                </w:p>
                <w:p>
                  <w:pPr>
                    <w:spacing w:line="400" w:lineRule="exact"/>
                    <w:ind w:firstLine="480"/>
                    <w:rPr>
                      <w:rFonts w:ascii="Times New Roman" w:hAnsi="Times New Roman" w:eastAsia="宋体" w:cs="Times New Roman"/>
                      <w:sz w:val="24"/>
                    </w:rPr>
                  </w:pPr>
                  <w:r>
                    <w:rPr>
                      <w:rFonts w:ascii="Times New Roman" w:hAnsi="Times New Roman" w:eastAsia="宋体" w:cs="Times New Roman"/>
                      <w:sz w:val="24"/>
                    </w:rPr>
                    <w:t>质量基础“跨越”计划：新建社会公用计量标准50项，85%的最高计量标准达到国内先进水平，突破关键计量测试技术10项，填补行业空白；建成和新建高端储能、陶瓷耐火材料等2个以上国家级质检（计量、产业计量测试）中心，推进惠山区建设国家检验检测高技术服务业集聚区（江苏）无锡园区、锡山区建设国家级检验检测认证公共服务平台示范区；建成和新建扭矩与力值仪器、生物医药设备等省级质检（计量、产业计量测试）中心3个以上。</w:t>
                  </w:r>
                </w:p>
              </w:txbxContent>
            </v:textbox>
          </v:shape>
        </w:pict>
      </w: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p>
      <w:pPr>
        <w:ind w:firstLine="640"/>
        <w:rPr>
          <w:rFonts w:ascii="Times New Roman" w:hAnsi="Times New Roman" w:cs="Times New Roman"/>
          <w:color w:val="000000" w:themeColor="text1"/>
          <w:szCs w:val="22"/>
        </w:rPr>
      </w:pPr>
    </w:p>
    <w:bookmarkEnd w:id="48"/>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49" w:name="_Toc55236638"/>
      <w:bookmarkStart w:id="50" w:name="_Toc66870182"/>
      <w:r>
        <w:rPr>
          <w:rFonts w:ascii="Times New Roman" w:hAnsi="Times New Roman" w:eastAsia="方正楷体_GBK" w:cs="Times New Roman"/>
          <w:bCs/>
          <w:color w:val="000000" w:themeColor="text1"/>
          <w:szCs w:val="32"/>
        </w:rPr>
        <w:t>第三节  提高产业链</w:t>
      </w:r>
      <w:bookmarkEnd w:id="49"/>
      <w:r>
        <w:rPr>
          <w:rFonts w:ascii="Times New Roman" w:hAnsi="Times New Roman" w:eastAsia="方正楷体_GBK" w:cs="Times New Roman"/>
          <w:bCs/>
          <w:color w:val="000000" w:themeColor="text1"/>
          <w:szCs w:val="32"/>
        </w:rPr>
        <w:t>现代化水平</w:t>
      </w:r>
      <w:bookmarkEnd w:id="50"/>
    </w:p>
    <w:p>
      <w:pPr>
        <w:ind w:firstLine="640"/>
        <w:rPr>
          <w:rFonts w:hAnsi="Times New Roman" w:cs="Times New Roman"/>
          <w:color w:val="000000" w:themeColor="text1"/>
          <w:szCs w:val="22"/>
        </w:rPr>
      </w:pPr>
      <w:r>
        <w:rPr>
          <w:rFonts w:hint="eastAsia" w:hAnsi="Times New Roman" w:cs="Times New Roman"/>
          <w:color w:val="000000" w:themeColor="text1"/>
          <w:szCs w:val="22"/>
        </w:rPr>
        <w:t>大力培育产业生态主导企业和核心零部件企业，打造一批行业龙头型平台企业，增强对全产业链、关键环节、核心技术和标准的控制力。</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优化产业链发展生态。实施卓越产业链</w:t>
      </w:r>
      <w:r>
        <w:rPr>
          <w:rFonts w:hint="eastAsia" w:hAnsi="Times New Roman" w:cs="Times New Roman"/>
          <w:szCs w:val="22"/>
        </w:rPr>
        <w:t>培育</w:t>
      </w:r>
      <w:r>
        <w:rPr>
          <w:rFonts w:hint="eastAsia" w:hAnsi="Times New Roman" w:cs="Times New Roman"/>
          <w:color w:val="000000" w:themeColor="text1"/>
          <w:szCs w:val="22"/>
        </w:rPr>
        <w:t>工程，编制重点产业链图谱，深化推进“造链、补链、强链、延链”，引进培育一批终端产品制造、系统集成企业，加快形成以龙头企业为引领、专精特新“小巨人”企业</w:t>
      </w:r>
      <w:r>
        <w:rPr>
          <w:rFonts w:hint="eastAsia" w:hAnsi="Times New Roman" w:cs="Times New Roman"/>
          <w:szCs w:val="22"/>
        </w:rPr>
        <w:t>为骨干、创新服务平台和产业集群促进机构为支撑的产业链发展生态体系。以产业链延伸和品牌高端化为导向，鼓励企业研制高</w:t>
      </w:r>
      <w:r>
        <w:rPr>
          <w:rFonts w:hint="eastAsia" w:hAnsi="Times New Roman" w:cs="Times New Roman"/>
          <w:color w:val="000000" w:themeColor="text1"/>
          <w:szCs w:val="22"/>
        </w:rPr>
        <w:t>附加值终端产品，引导企业推动加工类初级产品向精深产品转变、中间产品向终端产品转变，提升产业链供应链整合能力。鼓励产业链优势企业和专业配套企业集群化协同发展，依托供应链协同、创新能力对接、数据资源流通等模式</w:t>
      </w:r>
      <w:r>
        <w:rPr>
          <w:rFonts w:hint="eastAsia" w:hAnsi="Times New Roman" w:cs="Times New Roman"/>
          <w:szCs w:val="22"/>
        </w:rPr>
        <w:t>，</w:t>
      </w:r>
      <w:r>
        <w:rPr>
          <w:rFonts w:hint="eastAsia" w:hAnsi="Times New Roman" w:cs="Times New Roman"/>
          <w:color w:val="000000" w:themeColor="text1"/>
          <w:szCs w:val="22"/>
        </w:rPr>
        <w:t>提升产业链联结水平</w:t>
      </w:r>
      <w:r>
        <w:rPr>
          <w:rFonts w:hint="eastAsia" w:hAnsi="Times New Roman" w:cs="Times New Roman"/>
          <w:szCs w:val="22"/>
        </w:rPr>
        <w:t>。</w:t>
      </w:r>
      <w:r>
        <w:rPr>
          <w:rFonts w:hint="eastAsia" w:hAnsi="Times New Roman" w:cs="Times New Roman"/>
          <w:color w:val="000000" w:themeColor="text1"/>
          <w:szCs w:val="22"/>
        </w:rPr>
        <w:t>支持建立完善企业联盟、产业联盟、产业技术创新战略联盟，鼓励共享制造等新型生产组织方式，实行普惠化、功能性和包容性产业政策，形成合作共享生态共同体。实施产业链安全可靠工程，建立必要的产业备份系统，力争重要产品和供应渠道至少有一个替代来源，加强应急产品生产能力储备和供给，</w:t>
      </w:r>
      <w:r>
        <w:rPr>
          <w:rFonts w:hint="eastAsia" w:hAnsi="Times New Roman" w:cs="Times New Roman"/>
          <w:szCs w:val="22"/>
        </w:rPr>
        <w:t>促进产业链供应体系多元化</w:t>
      </w:r>
      <w:r>
        <w:rPr>
          <w:rFonts w:hint="eastAsia" w:hAnsi="Times New Roman" w:cs="Times New Roman"/>
          <w:color w:val="000000" w:themeColor="text1"/>
          <w:szCs w:val="22"/>
        </w:rPr>
        <w:t>。</w:t>
      </w:r>
    </w:p>
    <w:p>
      <w:pPr>
        <w:ind w:firstLine="640"/>
        <w:rPr>
          <w:rFonts w:hAnsi="Times New Roman" w:cs="Times New Roman"/>
          <w:color w:val="000000" w:themeColor="text1"/>
          <w:szCs w:val="22"/>
        </w:rPr>
      </w:pPr>
      <w:r>
        <w:rPr>
          <w:rFonts w:hint="eastAsia" w:hAnsi="Times New Roman" w:cs="Times New Roman"/>
          <w:color w:val="000000" w:themeColor="text1"/>
          <w:szCs w:val="22"/>
        </w:rPr>
        <w:t>实施强企壮企行动。坚持把培育龙头企业作为提升产业链整合能力、控制能力的重中之重，大力培育企业“航母”和“小巨人”。深入实施“百企引航”“千企升级”行动，积极培育头部企业，推动更多本土优质企业聚焦实业、深耕主业、做强专业，成为“链主企业”。开展单项冠军企业培育提升专项行动，鼓励企业开展技术创新、模式创新，成为专精特新的“隐形冠军”企业。支持中小微企业走专精特新发展之路，鼓励企业开展技术创新、产品创新、模式创新，在细分市场形成专业化、特色化发展优势，打造成为产业链重要节点的“配套专家”，推动中小企业成长为“小巨人”。培育发展平台经济，充分发挥制造业优势，培育出更多具备平台功能、彰显辐射效应的平台企业，引领产业层次整体迈向中高端。</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1" w:name="_Toc66870183"/>
      <w:bookmarkStart w:id="52" w:name="_Toc55236639"/>
      <w:r>
        <w:rPr>
          <w:rFonts w:ascii="Times New Roman" w:hAnsi="Times New Roman" w:eastAsia="方正楷体_GBK" w:cs="Times New Roman"/>
          <w:bCs/>
          <w:color w:val="000000" w:themeColor="text1"/>
          <w:szCs w:val="32"/>
        </w:rPr>
        <w:t>第四节  加快发展战略性新兴产业</w:t>
      </w:r>
      <w:bookmarkEnd w:id="51"/>
    </w:p>
    <w:p>
      <w:pPr>
        <w:ind w:firstLine="640"/>
        <w:rPr>
          <w:rFonts w:hAnsi="Times New Roman" w:cs="Times New Roman"/>
          <w:color w:val="000000" w:themeColor="text1"/>
          <w:szCs w:val="22"/>
        </w:rPr>
      </w:pPr>
      <w:r>
        <w:rPr>
          <w:rFonts w:hint="eastAsia" w:hAnsi="Times New Roman" w:cs="Times New Roman"/>
          <w:color w:val="000000" w:themeColor="text1"/>
          <w:szCs w:val="22"/>
        </w:rPr>
        <w:t>紧紧把握全球新一轮科技革命和产业变革重大机遇，进一步发展壮大新一代信息技术等战略性新兴产业，推动更广领域新技术、新产品、新业态、新模式发展，</w:t>
      </w:r>
      <w:r>
        <w:rPr>
          <w:rFonts w:hint="eastAsia" w:hAnsi="Times New Roman" w:cs="Times New Roman"/>
          <w:szCs w:val="22"/>
        </w:rPr>
        <w:t>增强</w:t>
      </w:r>
      <w:r>
        <w:rPr>
          <w:rFonts w:hint="eastAsia" w:hAnsi="Times New Roman" w:cs="Times New Roman"/>
          <w:color w:val="000000" w:themeColor="text1"/>
          <w:szCs w:val="22"/>
        </w:rPr>
        <w:t>产业发展新</w:t>
      </w:r>
      <w:r>
        <w:rPr>
          <w:rFonts w:hint="eastAsia" w:hAnsi="Times New Roman" w:cs="Times New Roman"/>
          <w:szCs w:val="22"/>
        </w:rPr>
        <w:t>动力</w:t>
      </w:r>
      <w:r>
        <w:rPr>
          <w:rFonts w:hint="eastAsia" w:hAnsi="Times New Roman" w:cs="Times New Roman"/>
          <w:color w:val="000000" w:themeColor="text1"/>
          <w:szCs w:val="22"/>
        </w:rPr>
        <w:t>。到2025年，战略性新兴产业产值占规模以上工业总产值比重达到38%以上。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培育地标性产业集群。围绕打造具有国际影响力、国内领先以及高成长性的16个先进制造业集群和4个未来产业集群</w:t>
      </w:r>
      <w:r>
        <w:rPr>
          <w:rStyle w:val="27"/>
          <w:rFonts w:hint="eastAsia" w:hAnsi="Times New Roman" w:cs="Times New Roman"/>
          <w:color w:val="000000" w:themeColor="text1"/>
          <w:szCs w:val="22"/>
        </w:rPr>
        <w:footnoteReference w:id="1"/>
      </w:r>
      <w:r>
        <w:rPr>
          <w:rFonts w:hint="eastAsia" w:hAnsi="Times New Roman" w:cs="Times New Roman"/>
          <w:color w:val="000000" w:themeColor="text1"/>
          <w:szCs w:val="22"/>
        </w:rPr>
        <w:t>，聚力培育物联网、集成电路、生物医药等地标性产业集群。高标准建设无锡国家传感网创新示范区，充分发挥无锡物联网创新促进中心的战略引擎作用，推进鸿山物联网小镇、慧海湾小镇、雪浪小镇、南山车联网小镇建设，持续举办世界物联网博览会，打造物联网世界级产业集群，到2025年全市物联网产业规模达到5000亿元。提升集成电路全产业链发展水平，优化无锡国家“芯火”双创基地等载体平台，推动一批产业链重大项目建设，形成以新吴区制造设计、滨湖区设计、江阴市封装测试、宜兴市材料、锡山区装备等集成电路产业链分工协作体系，到2025年全市集成电路产业规模达到2000亿元。着力发展生物技术产业，积极布局生物医药、生命健康、生命科学、脑科学、脑机接口等前沿技术领域，加快建设无锡（马山）国家生命科学园、中欧（无锡）生命科技创新产业园等重点园区，建立长三角蛋白药物研发创新基地，推动新制药、基因药、医疗器械、精准医疗、智能医疗服务、医药研发服务等高端领域发展，加快推行生物医药、医疗设备等国产替代进口，到2025年生物医药产业规模力争达到2500亿元。</w:t>
      </w:r>
    </w:p>
    <w:p>
      <w:pPr>
        <w:ind w:firstLine="640"/>
        <w:rPr>
          <w:rFonts w:hAnsi="Times New Roman" w:cs="Times New Roman"/>
          <w:color w:val="000000" w:themeColor="text1"/>
          <w:szCs w:val="22"/>
        </w:rPr>
      </w:pPr>
      <w:r>
        <w:rPr>
          <w:rFonts w:hint="eastAsia" w:hAnsi="Times New Roman" w:cs="Times New Roman"/>
          <w:bCs/>
          <w:color w:val="000000" w:themeColor="text1"/>
          <w:szCs w:val="22"/>
        </w:rPr>
        <w:t>打造重点产业集群。</w:t>
      </w:r>
      <w:r>
        <w:rPr>
          <w:rFonts w:hint="eastAsia" w:hAnsi="Times New Roman" w:cs="Times New Roman"/>
          <w:color w:val="000000" w:themeColor="text1"/>
          <w:szCs w:val="22"/>
        </w:rPr>
        <w:t>加快推动人工智能、新能源汽车、高端装备、新材料、高技术船舶和海工装备等具有无锡特色的优势产业发展，培育发展石墨烯、增材制造等未来产业，</w:t>
      </w:r>
      <w:r>
        <w:rPr>
          <w:rFonts w:hint="eastAsia" w:hAnsi="Times New Roman" w:cs="Times New Roman"/>
          <w:szCs w:val="22"/>
        </w:rPr>
        <w:t>布局发展量子技术、区块链、北斗等前沿技术产业，</w:t>
      </w:r>
      <w:r>
        <w:rPr>
          <w:rFonts w:hint="eastAsia" w:hAnsi="Times New Roman" w:cs="Times New Roman"/>
          <w:color w:val="000000" w:themeColor="text1"/>
          <w:szCs w:val="22"/>
        </w:rPr>
        <w:t>构建一批各具特色、优势互补、结构合理的战略性新兴产业增长引擎。完善人工智能产业体系，推进人工智能芯片和智能机器人研发及应用，加强图像识别、自动驾驶等重点领域的关键技术研究，形</w:t>
      </w:r>
      <w:r>
        <w:rPr>
          <w:rFonts w:hAnsi="Times New Roman" w:cs="Times New Roman"/>
          <w:color w:val="000000" w:themeColor="text1"/>
          <w:szCs w:val="22"/>
        </w:rPr>
        <w:t>成</w:t>
      </w:r>
      <w:r>
        <w:rPr>
          <w:rFonts w:hint="eastAsia" w:hAnsi="Times New Roman" w:cs="Times New Roman"/>
          <w:color w:val="000000" w:themeColor="text1"/>
          <w:szCs w:val="22"/>
        </w:rPr>
        <w:t>面向智能制造的系统解决方案，培育一批智能终端企业，争创国家新一代人工智能创新发展试验区。积极发展新能源汽车产业，聚焦电动城市公交车、纯电动商务车、纯电动专用车等整车制造领域，重点发展动力锂电池、正极材料、氢燃料电池、新能源汽车用电机、电控产品等零部件领域，配套建设智能化充电系统。加快发展特钢、电子信息材料、碳纤维等新材料产业，努力突破关键技术瓶颈，提升特种工艺制造能力。积极发展高端装备产业，重点开展控制系统设计和综合试验，拓展维修服务领域。加快发展高技术船舶和海工装备产业，以深海技术科学为着力点，加强海工装备研发制造技术攻关，打造海工装备研发试验基地。推动石墨烯和增材制造领域关键共性技术研发，重点建设惠山国家石墨烯新材料特色产业基地，促进石墨烯商业化应用、“3D打印+”示范化应用。创新先进制造业集群发展培育模式，支持第三方集群发展促进机构培育发展制造业产业集群。</w:t>
      </w:r>
    </w:p>
    <w:p>
      <w:pPr>
        <w:pStyle w:val="44"/>
        <w:ind w:firstLine="640"/>
        <w:rPr>
          <w:rFonts w:ascii="方正仿宋_GBK" w:hAnsi="Times New Roman"/>
          <w:color w:val="000000" w:themeColor="text1"/>
        </w:rPr>
      </w:pPr>
    </w:p>
    <w:bookmarkEnd w:id="52"/>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3" w:name="_Toc55236640"/>
      <w:bookmarkStart w:id="54" w:name="_Toc66870184"/>
      <w:r>
        <w:rPr>
          <w:rFonts w:ascii="Times New Roman" w:hAnsi="Times New Roman" w:eastAsia="方正楷体_GBK" w:cs="Times New Roman"/>
          <w:bCs/>
          <w:color w:val="000000" w:themeColor="text1"/>
          <w:szCs w:val="32"/>
        </w:rPr>
        <w:t>第五节  提升发展现代服务业</w:t>
      </w:r>
      <w:bookmarkEnd w:id="53"/>
      <w:bookmarkEnd w:id="54"/>
    </w:p>
    <w:p>
      <w:pPr>
        <w:ind w:firstLine="640"/>
        <w:rPr>
          <w:rFonts w:hAnsi="Times New Roman" w:cs="Times New Roman"/>
          <w:color w:val="000000" w:themeColor="text1"/>
          <w:szCs w:val="22"/>
        </w:rPr>
      </w:pPr>
      <w:r>
        <w:rPr>
          <w:rFonts w:hint="eastAsia" w:hAnsi="Times New Roman" w:cs="Times New Roman"/>
          <w:color w:val="000000" w:themeColor="text1"/>
          <w:szCs w:val="22"/>
        </w:rPr>
        <w:t>着力推动生产性服务业向专业化和价值链高端延伸，促进生活性服务业向高品质和多样化升级，加快服务业标准化、品牌化建设，打造区域性现代服务业发展高地。到2025年，现代服务业增加值占服务业增加值比重达到56%。</w:t>
      </w:r>
    </w:p>
    <w:p>
      <w:pPr>
        <w:ind w:firstLine="640"/>
        <w:rPr>
          <w:rFonts w:hAnsi="Times New Roman" w:cs="Times New Roman"/>
          <w:bCs/>
          <w:color w:val="000000" w:themeColor="text1"/>
          <w:szCs w:val="22"/>
        </w:rPr>
      </w:pPr>
      <w:r>
        <w:rPr>
          <w:rFonts w:hint="eastAsia" w:hAnsi="Times New Roman" w:cs="Times New Roman"/>
          <w:color w:val="000000" w:themeColor="text1"/>
          <w:szCs w:val="22"/>
        </w:rPr>
        <w:t>优化发展生产性服务业。实施生产性服务业倍增计划，重点</w:t>
      </w:r>
      <w:r>
        <w:rPr>
          <w:rFonts w:hint="eastAsia" w:hAnsi="Times New Roman" w:cs="Times New Roman"/>
          <w:bCs/>
          <w:color w:val="000000" w:themeColor="text1"/>
          <w:szCs w:val="22"/>
        </w:rPr>
        <w:t>推动金融服务、科技服务、物流服务、信息服务、人力资源和咨询服务、会展服务等领域发展，增强研发设计、技术转移、流程优化、物流配送、决策咨询、市场开拓等领域对产业提升发展的支撑能力。加快发展金融服务业，以金融服务实体经济为导向，推动各类金融机构集聚发展，构建门类齐全、功能完善、服务先进的现代金融服务体系。着力发展科技服务业，</w:t>
      </w:r>
      <w:r>
        <w:rPr>
          <w:rFonts w:hint="eastAsia" w:hAnsi="Times New Roman" w:cs="Times New Roman"/>
          <w:color w:val="000000" w:themeColor="text1"/>
          <w:szCs w:val="22"/>
        </w:rPr>
        <w:t>培育引进专业规范高效的科技服务机构和骨干企业，</w:t>
      </w:r>
      <w:r>
        <w:rPr>
          <w:rFonts w:hint="eastAsia" w:hAnsi="Times New Roman" w:cs="Times New Roman"/>
          <w:bCs/>
          <w:color w:val="000000" w:themeColor="text1"/>
          <w:szCs w:val="22"/>
        </w:rPr>
        <w:t>建立涵盖研究开发、技术转移、检验检测认证、创业孵化、知识产权、科技咨询、科技金融、科学技术普及等领域的科技创新服务体系。提升发展信息服务业，构建涵盖基础软件、应用软件、工业APP等信息产品和信息系统集成、云服务、大数据、集成电路设计等方面的信息服务产业生态体系。积极发展人力资源和咨询服务业，建立涵盖信息咨询、产权交易、检索咨询、教育培训、法律服务、会计审计、经济管理等高端领域的人力资源和咨询服务体系。培育发展会展业，整合会展资源，引育一批专业会展机构和品牌展会，完善线上展会平台功能，打造“无锡名品”数字展厅。完善生产性服务业创新体系，优化生产性服务业空间布局，推动各类市场主体参与服务供给。发展生产性服务贸易，形成具有国际竞争优势的专业化服务体系。</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提升发展生活性服务业。</w:t>
      </w:r>
      <w:r>
        <w:rPr>
          <w:rFonts w:hint="eastAsia" w:hAnsi="Times New Roman" w:cs="Times New Roman"/>
          <w:bCs/>
          <w:color w:val="000000" w:themeColor="text1"/>
          <w:szCs w:val="22"/>
        </w:rPr>
        <w:t>以满足人民需求为导向，运用现代服务理念、经营模式和科学技术，提升发展文化体育、旅游休闲、健康养老、商贸餐饮、家政物业等生活性服务业，加强公益性、基础性服务供给。加快发展文化创意产业，构建涵盖影视传媒、创意设计、文化旅游、文化娱乐、数字文化等重点领域的文化创意产业体系。提升发展旅游业，构建全域化、多元化、多层次的旅游产品体系，努力打造省内领先、全国一流、国际知名的旅游目的地城市。融合发展养老服务业，充分利用山水、医疗、康养资源，高质量构建全产业链健康养老产业体系，打造长三角健康养老服务基地。</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推进“两业”融合发展。</w:t>
      </w:r>
      <w:r>
        <w:rPr>
          <w:rFonts w:hint="eastAsia" w:hAnsi="Times New Roman" w:cs="Times New Roman"/>
          <w:bCs/>
          <w:color w:val="000000" w:themeColor="text1"/>
          <w:szCs w:val="22"/>
        </w:rPr>
        <w:t>加快制造业服务化转型，依托“互联网+制造”模式，鼓励制造业企业向创意孵化、研发设计、售后服务等产业链两端延伸，引导有条件的制造业企业实现生产全流程的互联网转型。推动服务业制造化，鼓励服务业企业深度嵌入制造业全产业链，提供高端科技研发、现代供应链、产品生命周期管理、现代物流等功能服务，提高服务业对制造业的支撑作用。加快</w:t>
      </w:r>
      <w:bookmarkStart w:id="55" w:name="_Hlk59911076"/>
      <w:r>
        <w:rPr>
          <w:rFonts w:hint="eastAsia" w:hAnsi="Times New Roman" w:cs="Times New Roman"/>
          <w:bCs/>
          <w:color w:val="000000" w:themeColor="text1"/>
          <w:szCs w:val="22"/>
        </w:rPr>
        <w:t>“两业”</w:t>
      </w:r>
      <w:bookmarkEnd w:id="55"/>
      <w:r>
        <w:rPr>
          <w:rFonts w:hint="eastAsia" w:hAnsi="Times New Roman" w:cs="Times New Roman"/>
          <w:bCs/>
          <w:color w:val="000000" w:themeColor="text1"/>
          <w:szCs w:val="22"/>
        </w:rPr>
        <w:t>深度融合试点示范建设，以先进制造业产业集群的龙头企业、智能工厂和生产性服务业领军骨干企业为重点，组织实施一批试点示范项目，建设综合服务功能区和公共服务平台，构建“两业”深度融合的产业生态圈。</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推动现代服务业集聚发展。推动各类现代服务业集聚区突出主业、提档升级，争创一批省级现代服务业集聚示范区。重点发展空港物流园、西站物流园、江阴长江港口综合物流园等现代物流集聚区，无锡（国家）软件园、惠山软件园等信息服务集聚区，山水城科教产业园、锡东新城商务区等科技服务集聚区，宜兴陶瓷文化创意产业园、无锡国家数字电影产业园、无锡国家广告产业园等文化创意园区，古运河文商旅集聚区等旅游休闲园区。</w:t>
      </w:r>
      <w:r>
        <w:rPr>
          <w:rFonts w:hint="eastAsia" w:hAnsi="Times New Roman" w:cs="Times New Roman"/>
          <w:bCs/>
          <w:color w:val="000000" w:themeColor="text1"/>
          <w:szCs w:val="22"/>
        </w:rPr>
        <w:t>推广江阴市、滨湖区省级服务业综合改革经验，开展新一轮综合改革试点，探索服务业创新发展的新模式新举措。到2025年，培育营业收入超千亿元</w:t>
      </w:r>
      <w:r>
        <w:rPr>
          <w:rFonts w:hint="eastAsia" w:hAnsi="Times New Roman" w:cs="Times New Roman"/>
          <w:bCs/>
          <w:szCs w:val="22"/>
        </w:rPr>
        <w:t>的现代服</w:t>
      </w:r>
      <w:r>
        <w:rPr>
          <w:rFonts w:hint="eastAsia" w:hAnsi="Times New Roman" w:cs="Times New Roman"/>
          <w:bCs/>
          <w:color w:val="000000" w:themeColor="text1"/>
          <w:szCs w:val="22"/>
        </w:rPr>
        <w:t>务业集聚区3家。</w:t>
      </w:r>
    </w:p>
    <w:p>
      <w:pPr>
        <w:ind w:firstLine="640"/>
        <w:rPr>
          <w:rFonts w:hAnsi="Times New Roman" w:cs="Times New Roman"/>
          <w:bCs/>
          <w:color w:val="000000" w:themeColor="text1"/>
          <w:szCs w:val="22"/>
        </w:rPr>
      </w:pPr>
      <w:r>
        <w:rPr>
          <w:rFonts w:hint="eastAsia" w:hAnsi="Times New Roman" w:cs="Times New Roman"/>
          <w:color w:val="000000" w:themeColor="text1"/>
          <w:szCs w:val="22"/>
        </w:rPr>
        <w:t>提升总部经济发展能级。</w:t>
      </w:r>
      <w:r>
        <w:rPr>
          <w:rFonts w:hint="eastAsia" w:hAnsi="Times New Roman" w:cs="Times New Roman"/>
          <w:bCs/>
          <w:color w:val="000000" w:themeColor="text1"/>
          <w:szCs w:val="22"/>
        </w:rPr>
        <w:t>借助新发展格局建设的有利契机，支持企业在做精做强主业的同时，加强研发中心、运营中心、结算中心、销售中心建设，提高市场化、国际化、资本化水平，培育一批生产服务型、销售管理型、决策运营型、科技研发型等功能性总部企业。发挥本土总部企业的引领和支撑作用，培育形成一批市场前景广阔、规模效益明显、处于国内领先地位的航母级总部企业。积极招引国内外知名总部企业，鼓励在锡外商企业总部化发展。推动总部企业集聚发展，推动太湖新城金融商务街区、锡东新城商务区等总部经济集聚区建设，鼓励龙头型总部企业建设“园中园”。到2025年，经市级认定的总部企业数量达到80家。</w:t>
      </w:r>
    </w:p>
    <w:p>
      <w:pPr>
        <w:ind w:firstLine="640"/>
        <w:rPr>
          <w:rFonts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6" w:name="_Toc66870185"/>
      <w:r>
        <w:rPr>
          <w:rFonts w:ascii="Times New Roman" w:hAnsi="Times New Roman" w:eastAsia="方正楷体_GBK" w:cs="Times New Roman"/>
          <w:bCs/>
          <w:color w:val="000000" w:themeColor="text1"/>
          <w:szCs w:val="32"/>
        </w:rPr>
        <w:t>第六节  大力发展数字经济</w:t>
      </w:r>
      <w:bookmarkEnd w:id="56"/>
    </w:p>
    <w:p>
      <w:pPr>
        <w:ind w:firstLine="640"/>
        <w:rPr>
          <w:rFonts w:hAnsi="Times New Roman" w:cs="Times New Roman"/>
          <w:szCs w:val="22"/>
        </w:rPr>
      </w:pPr>
      <w:r>
        <w:rPr>
          <w:rFonts w:hint="eastAsia" w:hAnsi="Times New Roman" w:cs="Times New Roman"/>
          <w:bCs/>
          <w:color w:val="000000" w:themeColor="text1"/>
          <w:szCs w:val="32"/>
        </w:rPr>
        <w:t>紧紧抓住以新一代信息技术为核心的科技创新和产业创新机遇，以“数字产业化、产业数字化”为主线，充分挖掘数据资源，释放数据资源新价值，为实体经济数字化赋能，建设全国数字经济示范城市。到2025年，全市数</w:t>
      </w:r>
      <w:r>
        <w:rPr>
          <w:rFonts w:hint="eastAsia" w:hAnsi="Times New Roman" w:cs="Times New Roman"/>
          <w:bCs/>
          <w:szCs w:val="32"/>
        </w:rPr>
        <w:t>字经济核心产业营业收入突破8500亿元。</w:t>
      </w:r>
    </w:p>
    <w:p>
      <w:pPr>
        <w:ind w:firstLine="640"/>
        <w:rPr>
          <w:rFonts w:hAnsi="Times New Roman" w:cs="Times New Roman"/>
          <w:color w:val="000000" w:themeColor="text1"/>
          <w:szCs w:val="22"/>
        </w:rPr>
      </w:pPr>
      <w:r>
        <w:rPr>
          <w:rFonts w:hint="eastAsia" w:hAnsi="Times New Roman" w:cs="Times New Roman"/>
          <w:color w:val="000000" w:themeColor="text1"/>
          <w:szCs w:val="22"/>
        </w:rPr>
        <w:t>推进数字产业化发展。依托无锡数字产业发展基础，推动物联网、高性能集成电路、高端软件、大数据和云计算等信息技术重点领域集聚发展，丰富数字产业生态圈，培育一批旗舰型数字企业，提高数字经济核心竞争力。持续发挥全国首批云计算创新服务试点城市的优势，聚焦人工智能、物联网、大数据、云计算等数字经济核心先导产业，实现关键核心技术攻关突破，支撑5G、车联网、工业互联网、人工智能等数字经济前沿新兴产业发展，营造集群效应显现的5G核心产业生态。推进高端软件自主替代，培育一批国家级和省级软件园，创建中国软件特色名城。</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产业数字化发展。充分发挥数字赋能作用，加速推进工业互联网、智慧农业发展，培育数字金融、数字消费、电子商务等新领域新业态，树立全国产业数字化转型城市标杆。推动物联网、大数据、人工智能等信</w:t>
      </w:r>
      <w:r>
        <w:rPr>
          <w:rFonts w:hint="eastAsia" w:hAnsi="Times New Roman" w:cs="Times New Roman"/>
          <w:szCs w:val="22"/>
        </w:rPr>
        <w:t>息技术与制造业、服务业和农业深度融合，建设工业大数据中心，推动实体经济</w:t>
      </w:r>
      <w:r>
        <w:rPr>
          <w:rFonts w:hint="eastAsia" w:hAnsi="Times New Roman" w:cs="Times New Roman"/>
          <w:color w:val="000000" w:themeColor="text1"/>
          <w:szCs w:val="22"/>
        </w:rPr>
        <w:t>数字化、网络化、智能化转型升级。培育新型供应链服务业态，促进原材料、软件、设备等供应商直接对接，实现供应链商品多元化、管理集中化、数据可视化和服务专业化。</w:t>
      </w:r>
      <w:r>
        <w:rPr>
          <w:rFonts w:hint="eastAsia" w:hAnsi="Times New Roman" w:cs="Times New Roman"/>
          <w:szCs w:val="22"/>
        </w:rPr>
        <w:t>推动</w:t>
      </w:r>
      <w:r>
        <w:rPr>
          <w:rFonts w:hint="eastAsia" w:hAnsi="Times New Roman" w:cs="Times New Roman"/>
          <w:color w:val="000000" w:themeColor="text1"/>
          <w:szCs w:val="22"/>
        </w:rPr>
        <w:t>工业互联网发展，大力实施“千企上云”，支持龙头企业建设行业级工业互联网平台，促</w:t>
      </w:r>
      <w:r>
        <w:rPr>
          <w:rFonts w:hAnsi="Times New Roman" w:cs="Times New Roman"/>
          <w:color w:val="000000" w:themeColor="text1"/>
          <w:szCs w:val="22"/>
        </w:rPr>
        <w:t>进</w:t>
      </w:r>
      <w:r>
        <w:rPr>
          <w:rFonts w:hint="eastAsia" w:hAnsi="Times New Roman" w:cs="Times New Roman"/>
          <w:color w:val="000000" w:themeColor="text1"/>
          <w:szCs w:val="22"/>
        </w:rPr>
        <w:t>工业互联网示范应用，构建以“工业大脑”为核心的新型制造组织体系。</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数字园区载体。发展新一代信息技术产业，推动信息技术向传统产业深度渗透，打造一批信息技术与实体经济融合发展的品牌园区。加快建设特色数字产业创新基地，高位推进无锡高新区和无锡经济开发区两家江苏省大数据产业园建设，推动无锡（国家）软件园、无锡国家广告产业园、国家集成电路（无锡）设计中心、无锡国家数字电影产业园、江苏数字信息产业园、中电海康物联网基地、江阴数字创新港等载体建设，形成一批具有区域影响力的数字经济园区。</w:t>
      </w:r>
    </w:p>
    <w:p>
      <w:pPr>
        <w:ind w:firstLine="640"/>
        <w:rPr>
          <w:rFonts w:ascii="Times New Roman" w:hAnsi="Times New Roman" w:cs="Times New Roman"/>
          <w:bCs/>
          <w:color w:val="000000" w:themeColor="text1"/>
          <w:szCs w:val="22"/>
        </w:rPr>
      </w:pP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57" w:name="_Toc55236641"/>
      <w:bookmarkStart w:id="58" w:name="_Toc66870186"/>
      <w:r>
        <w:rPr>
          <w:rFonts w:ascii="Times New Roman" w:hAnsi="Times New Roman" w:eastAsia="方正黑体_GBK" w:cs="Times New Roman"/>
          <w:bCs/>
          <w:color w:val="000000" w:themeColor="text1"/>
          <w:szCs w:val="32"/>
        </w:rPr>
        <w:t xml:space="preserve">第六章  </w:t>
      </w:r>
      <w:bookmarkEnd w:id="57"/>
      <w:r>
        <w:rPr>
          <w:rFonts w:ascii="Times New Roman" w:hAnsi="Times New Roman" w:eastAsia="方正黑体_GBK" w:cs="Times New Roman"/>
          <w:bCs/>
          <w:color w:val="000000" w:themeColor="text1"/>
          <w:szCs w:val="32"/>
        </w:rPr>
        <w:t>加快融入新发展格局</w:t>
      </w:r>
      <w:bookmarkEnd w:id="58"/>
    </w:p>
    <w:p>
      <w:pPr>
        <w:ind w:firstLine="640"/>
        <w:rPr>
          <w:rFonts w:hAnsi="Times New Roman" w:cs="Times New Roman"/>
          <w:color w:val="000000" w:themeColor="text1"/>
          <w:szCs w:val="22"/>
        </w:rPr>
      </w:pPr>
      <w:r>
        <w:rPr>
          <w:rFonts w:hint="eastAsia" w:hAnsi="Times New Roman" w:cs="Times New Roman"/>
          <w:color w:val="000000" w:themeColor="text1"/>
          <w:szCs w:val="22"/>
        </w:rPr>
        <w:t>坚持以扩大内需为战略基点，深化供给侧结构性改革，注重需求侧管理，打通经济循环堵点，建立健全改进供给质量与拓展国内市场、融入全球市场联动机制，增强经济发展动力和韧性。</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59" w:name="_Toc56155315"/>
      <w:bookmarkStart w:id="60" w:name="_Toc55236643"/>
      <w:bookmarkStart w:id="61" w:name="_Toc66870187"/>
      <w:r>
        <w:rPr>
          <w:rFonts w:ascii="Times New Roman" w:hAnsi="Times New Roman" w:eastAsia="方正楷体_GBK" w:cs="Times New Roman"/>
          <w:bCs/>
          <w:color w:val="000000" w:themeColor="text1"/>
          <w:szCs w:val="32"/>
        </w:rPr>
        <w:t xml:space="preserve">第一节  </w:t>
      </w:r>
      <w:bookmarkEnd w:id="59"/>
      <w:bookmarkEnd w:id="60"/>
      <w:r>
        <w:rPr>
          <w:rFonts w:ascii="Times New Roman" w:hAnsi="Times New Roman" w:eastAsia="方正楷体_GBK" w:cs="Times New Roman"/>
          <w:bCs/>
          <w:color w:val="000000" w:themeColor="text1"/>
          <w:szCs w:val="32"/>
        </w:rPr>
        <w:t>释放消费潜能</w:t>
      </w:r>
      <w:bookmarkEnd w:id="61"/>
    </w:p>
    <w:p>
      <w:pPr>
        <w:ind w:firstLine="640"/>
        <w:rPr>
          <w:rFonts w:hAnsi="Times New Roman" w:cs="Times New Roman"/>
          <w:color w:val="000000" w:themeColor="text1"/>
          <w:szCs w:val="22"/>
        </w:rPr>
      </w:pPr>
      <w:r>
        <w:rPr>
          <w:rFonts w:hint="eastAsia" w:hAnsi="Times New Roman" w:cs="Times New Roman"/>
          <w:color w:val="000000" w:themeColor="text1"/>
          <w:szCs w:val="22"/>
        </w:rPr>
        <w:t>顺应居民消费需求提高、消费结构升级的总体趋势，提高消费供给质量水平，增强消费对经济发展的基础性作用，争创国际消费中心城市。到2025年，消费对经济贡献率增长达到60%。</w:t>
      </w:r>
    </w:p>
    <w:p>
      <w:pPr>
        <w:ind w:firstLine="640"/>
        <w:rPr>
          <w:rFonts w:hAnsi="Times New Roman" w:cs="Times New Roman"/>
          <w:color w:val="000000" w:themeColor="text1"/>
          <w:szCs w:val="22"/>
        </w:rPr>
      </w:pPr>
      <w:r>
        <w:rPr>
          <w:rFonts w:hint="eastAsia" w:hAnsi="Times New Roman" w:cs="Times New Roman"/>
          <w:color w:val="000000" w:themeColor="text1"/>
          <w:szCs w:val="22"/>
        </w:rPr>
        <w:t>培育多元消费业态。实施消费促进计划和海外消费回流计划，推进幸福产业培育工程，引导企业适应消费需求变化新趋势，增强优质商品和服务供给，促进消费向绿色、健康、安全发展。顺应服务性、个性化、享受型消费升级趋势，推动衣食住行等实物消费品质化发展，促进网络信息、文化体育、旅游休闲、家政托幼、健康养老等服务消费提质扩容。抢抓新兴消费热点，鼓励发展体验经济、首发经济、时尚经济、夜间经济等新业态新模式，积极发展远程办公、在线教育、远程医疗、在线娱乐等网络消费市场，培育本地网络消费品牌，发展无接触交易服务，促进线上线下有机融合，争创全国信息消费示范城市。支持老字号品牌建设和社区电子商务发展，提升商业运营质态。</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消费平台载体。优化城市消费载体布局，打造中山路、荟聚、万象城等区域商业中心，培育南长街、小娄巷等高品位步行街，发展特色商业街、交通枢纽商业群、社区级商业群，构建多层次、高品质的现代商圈网络体系。改善城乡消费物流基础设施条件，推动消费新业态向农村市场拓展，引导电商下乡布局，促进连锁商业品牌向乡镇延伸，完善优质农产品进城渠道，提高农贸市场标准化改造和精细化管理水平，规范建设乡镇综合体。培育发展跨境电商、保税展示销售、进口商品直销等业态，有序布局一批专业进口促进平台，发展免税经济。</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消费促进机制。多渠道多方式完善消费引导政策，放宽新型消费领域的市场准入，营造公平竞争、守法有序的市场环境。着力消除制约消费的不合理限制和规定，引导树立节约适度、绿色低碳、文明健康的消费理念。完善消费领域信用体系建设，推行诚信经营和诚信消费，营造诚实守信、放心便捷的消费环境。健全线上线下一体化监管机制，加大对平台型消费供给主体的监管力度，开展重要产品追溯，依法保障消费者合法权益，争创全国放心消费城市。实施汽车等消费品使用管理制度，健全耐用消费品回收处理激励体系。落实带薪休假制度，扩大节假日消费。</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62" w:name="_Toc55236642"/>
      <w:bookmarkStart w:id="63" w:name="_Toc56155314"/>
      <w:bookmarkStart w:id="64" w:name="_Toc66870188"/>
      <w:r>
        <w:rPr>
          <w:rFonts w:ascii="Times New Roman" w:hAnsi="Times New Roman" w:eastAsia="方正楷体_GBK" w:cs="Times New Roman"/>
          <w:bCs/>
          <w:color w:val="000000" w:themeColor="text1"/>
          <w:szCs w:val="32"/>
        </w:rPr>
        <w:t xml:space="preserve">第二节  </w:t>
      </w:r>
      <w:bookmarkEnd w:id="62"/>
      <w:bookmarkEnd w:id="63"/>
      <w:r>
        <w:rPr>
          <w:rFonts w:ascii="Times New Roman" w:hAnsi="Times New Roman" w:eastAsia="方正楷体_GBK" w:cs="Times New Roman"/>
          <w:bCs/>
          <w:color w:val="000000" w:themeColor="text1"/>
          <w:szCs w:val="32"/>
        </w:rPr>
        <w:t>拓展投资空间</w:t>
      </w:r>
      <w:bookmarkEnd w:id="64"/>
    </w:p>
    <w:p>
      <w:pPr>
        <w:ind w:firstLine="640"/>
        <w:rPr>
          <w:rFonts w:hAnsi="Times New Roman" w:cs="Times New Roman"/>
          <w:color w:val="000000" w:themeColor="text1"/>
          <w:szCs w:val="22"/>
        </w:rPr>
      </w:pPr>
      <w:r>
        <w:rPr>
          <w:rFonts w:hint="eastAsia" w:hAnsi="Times New Roman" w:cs="Times New Roman"/>
          <w:color w:val="000000" w:themeColor="text1"/>
          <w:szCs w:val="22"/>
        </w:rPr>
        <w:t>发挥投资对优化供给结构的关键作用，坚持以重大项目建设为抓手，着力扩大有效投资，强化投资保障，提高投资效益，为经济社会发展提供有力支撑。</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投资政策引导。落实国家产业结构调整指导目录、外商投资产业指导目录，为各类投资活动提供指导，优化投资结构，保持投资合理增长，构建与高质量发展相匹配的投资效益增长模式。完善重大项目招引决策和激励机制，建立健全地区间的统筹协调和利益平衡机制。加强重大项目建设保障，坚持要素跟着项目走、项目跟着规划走，构建项目与财政性建设资金、银行贷款、社会资本等要素匹配机制，引导用地、用能等向市级重大项目、优质项目倾斜。</w:t>
      </w:r>
    </w:p>
    <w:p>
      <w:pPr>
        <w:ind w:firstLine="640"/>
        <w:rPr>
          <w:rFonts w:hAnsi="Times New Roman" w:cs="Times New Roman"/>
          <w:color w:val="000000" w:themeColor="text1"/>
          <w:szCs w:val="22"/>
        </w:rPr>
      </w:pPr>
      <w:r>
        <w:rPr>
          <w:rFonts w:hint="eastAsia" w:hAnsi="Times New Roman" w:cs="Times New Roman"/>
          <w:color w:val="000000" w:themeColor="text1"/>
          <w:szCs w:val="22"/>
        </w:rPr>
        <w:t>激发民间投资活力。确立企业投资主体地位，积极引导民营企业聚焦战略性新兴产业、先进制造业、现代服务业等领域，推动企业新建项目、改扩建项目，加大设备更新和技术改造力度，扩大社会有效投资。扩大民间投资市场准入范围，放宽社会资本投资领域，鼓励和引导社会资本采取独资、合资、合作、联营、项目融资等方式，进入法律法规未禁止进入的基础设施、公用事业等行业和领域。增强民间投资审批、融资协调和项目服务效能，提升投资质量和效益，激发民营企业投资积极性，形成市场主导的投资内生增长机制。</w:t>
      </w:r>
    </w:p>
    <w:p>
      <w:pPr>
        <w:ind w:firstLine="640"/>
        <w:rPr>
          <w:rFonts w:hAnsi="Times New Roman" w:cs="Times New Roman"/>
          <w:color w:val="000000" w:themeColor="text1"/>
          <w:szCs w:val="22"/>
        </w:rPr>
      </w:pPr>
      <w:r>
        <w:rPr>
          <w:rFonts w:hint="eastAsia" w:hAnsi="Times New Roman" w:cs="Times New Roman"/>
          <w:color w:val="000000" w:themeColor="text1"/>
          <w:szCs w:val="22"/>
        </w:rPr>
        <w:t>发挥政府投资撬动作用。树牢政府投资公共价值导向，强化政府投资补短板作用，聚焦重大科技创新、现代产业、基础设施、农业农村、公共安全、生态环保、公共服务、民生保障等重点领域，统筹安排、规范使用各类政府投资资金，精准实施一批强基础、增功能、利长远、补短板的重大工程项目。完善政府投资决策程序，健全政府投资项目“储备库、三年计划、年度计划”梯次推进机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65" w:name="_Toc66870189"/>
      <w:bookmarkStart w:id="66" w:name="_Toc55236644"/>
      <w:r>
        <w:rPr>
          <w:rFonts w:ascii="Times New Roman" w:hAnsi="Times New Roman" w:eastAsia="方正楷体_GBK" w:cs="Times New Roman"/>
          <w:bCs/>
          <w:color w:val="000000" w:themeColor="text1"/>
          <w:szCs w:val="32"/>
        </w:rPr>
        <w:t>第三节  完善现代流通体系</w:t>
      </w:r>
      <w:bookmarkEnd w:id="65"/>
      <w:bookmarkEnd w:id="66"/>
    </w:p>
    <w:p>
      <w:pPr>
        <w:ind w:firstLine="640"/>
        <w:rPr>
          <w:rFonts w:hAnsi="Times New Roman" w:cs="Times New Roman"/>
          <w:color w:val="000000" w:themeColor="text1"/>
          <w:szCs w:val="22"/>
        </w:rPr>
      </w:pPr>
      <w:r>
        <w:rPr>
          <w:rFonts w:hint="eastAsia" w:hAnsi="Times New Roman" w:cs="Times New Roman"/>
          <w:color w:val="000000" w:themeColor="text1"/>
          <w:szCs w:val="22"/>
        </w:rPr>
        <w:t>统筹推进现代流通体系软硬件建设，发展流通新技术新业态新模式，加快形成内外联通、安全高效的物流网络，为融入新发展格局提供基础支撑。到2025年，全市社会物流总费用占地区生产总值比率降至13%。</w:t>
      </w:r>
    </w:p>
    <w:p>
      <w:pPr>
        <w:ind w:firstLine="640"/>
        <w:rPr>
          <w:rFonts w:hAnsi="Times New Roman" w:cs="Times New Roman"/>
          <w:color w:val="000000" w:themeColor="text1"/>
          <w:szCs w:val="22"/>
        </w:rPr>
      </w:pPr>
      <w:r>
        <w:rPr>
          <w:rFonts w:hint="eastAsia" w:hAnsi="Times New Roman" w:cs="Times New Roman"/>
          <w:color w:val="000000" w:themeColor="text1"/>
          <w:szCs w:val="22"/>
        </w:rPr>
        <w:t>大力发展枢纽经济。充分发挥全国性综合交通枢纽优势，依托机场、高铁、港口、公路等交通枢纽，加快发展高质量枢纽经济，促进枢纽、产业、城市融合发展，打造华东地区重要物流与供应链枢纽、长三角枢纽经济创新高地。推进空港枢纽发展，围绕航空货运业态，培育壮大临空产业，推动空港经济开发区、无锡高新综合保税区聚势赋能，强化综合保税区与空港“区港联动”，建设航空快件中心、国际邮件互换局（交换站）、跨境电商监管中心，完善进口商品指定口岸功能，提高苏南硕放机场枢纽能级。推进高铁枢纽发展，依托“2+4”高铁枢纽群</w:t>
      </w:r>
      <w:r>
        <w:rPr>
          <w:rFonts w:hint="eastAsia" w:hAnsi="Times New Roman" w:cs="Times New Roman"/>
          <w:color w:val="000000" w:themeColor="text1"/>
          <w:szCs w:val="22"/>
          <w:vertAlign w:val="superscript"/>
        </w:rPr>
        <w:footnoteReference w:id="2"/>
      </w:r>
      <w:r>
        <w:rPr>
          <w:rFonts w:hint="eastAsia" w:hAnsi="Times New Roman" w:cs="Times New Roman"/>
          <w:color w:val="000000" w:themeColor="text1"/>
          <w:szCs w:val="22"/>
        </w:rPr>
        <w:t>，聚焦发展商务商贸、高端服务、先进制造等临铁经济。推进无锡（江阴）港枢纽建设发展，对接上海国际航运中心建设，整合岸线资源，拓展综合保税区服务领域，加快发展集装箱多式联运，聚力培育航运物流、临港先进制造、国际分拨分销等特色产业集群。推进陆港枢纽发展，结合公路货运通道优化，调整农副产品、钢贸、快递物流布局，</w:t>
      </w:r>
      <w:r>
        <w:rPr>
          <w:rFonts w:hint="eastAsia" w:hAnsi="Times New Roman" w:cs="Times New Roman"/>
          <w:szCs w:val="22"/>
        </w:rPr>
        <w:t>实现</w:t>
      </w:r>
      <w:r>
        <w:rPr>
          <w:rFonts w:hint="eastAsia" w:hAnsi="Times New Roman" w:cs="Times New Roman"/>
          <w:color w:val="000000" w:themeColor="text1"/>
          <w:szCs w:val="22"/>
        </w:rPr>
        <w:t>集聚集约发展。</w:t>
      </w:r>
    </w:p>
    <w:p>
      <w:pPr>
        <w:ind w:firstLine="640"/>
        <w:rPr>
          <w:rFonts w:hAnsi="Times New Roman" w:cs="Times New Roman"/>
          <w:color w:val="000000" w:themeColor="text1"/>
          <w:szCs w:val="22"/>
        </w:rPr>
      </w:pPr>
      <w:r>
        <w:rPr>
          <w:rFonts w:hint="eastAsia" w:hAnsi="Times New Roman" w:cs="Times New Roman"/>
          <w:color w:val="000000" w:themeColor="text1"/>
          <w:szCs w:val="22"/>
        </w:rPr>
        <w:t>提升发展现代物流业。巩固区域物流枢纽地位，优化物流业空间布局，完善货运通道网络，构建新型物流运作体系，推动传统物流向现代物流转型升级，促进物流用地节约高效利用。增强西站物流园区公铁水联运功能，提升苏南快递产业园发展水平。支持传统物流企业信息化智能化改造，提高现代物流企业竞争力。积极发展智慧物流、供应链物流、口岸物流、快递物流、冷链物流等新业态，建设物流综合信息服务平台，推动货运车联网与物流园区、仓储设施、配送网点实现信息互联互通。完善商贸流通基础设施网络，构建干线、支线、配送一体化的城乡配送三级网络，建设城乡高效配送试点城市。</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67" w:name="_Toc55236645"/>
      <w:bookmarkStart w:id="68" w:name="_Toc66870190"/>
      <w:r>
        <w:rPr>
          <w:rFonts w:ascii="Times New Roman" w:hAnsi="Times New Roman" w:eastAsia="方正楷体_GBK" w:cs="Times New Roman"/>
          <w:bCs/>
          <w:color w:val="000000" w:themeColor="text1"/>
          <w:szCs w:val="32"/>
        </w:rPr>
        <w:t xml:space="preserve">第四节  </w:t>
      </w:r>
      <w:bookmarkEnd w:id="67"/>
      <w:r>
        <w:rPr>
          <w:rFonts w:ascii="Times New Roman" w:hAnsi="Times New Roman" w:eastAsia="方正楷体_GBK" w:cs="Times New Roman"/>
          <w:bCs/>
          <w:color w:val="000000" w:themeColor="text1"/>
          <w:szCs w:val="32"/>
        </w:rPr>
        <w:t>促进经济循环</w:t>
      </w:r>
      <w:bookmarkEnd w:id="68"/>
    </w:p>
    <w:p>
      <w:pPr>
        <w:ind w:firstLine="640"/>
        <w:rPr>
          <w:rFonts w:hAnsi="Times New Roman" w:cs="Times New Roman"/>
          <w:color w:val="000000" w:themeColor="text1"/>
          <w:szCs w:val="22"/>
        </w:rPr>
      </w:pPr>
      <w:r>
        <w:rPr>
          <w:rFonts w:hint="eastAsia" w:hAnsi="Times New Roman" w:cs="Times New Roman"/>
          <w:color w:val="000000" w:themeColor="text1"/>
          <w:szCs w:val="22"/>
        </w:rPr>
        <w:t>顺应世界经济结构深度调整的趋势，依托无锡区位、产业、科技、交通等比较优势，积极参与国际、国内和区域新型分工，融入新型产业链价值链和区域供给链体系，将无锡打造成为国内大循环的重要支点、国内国际双循环相互促进的重要枢纽。</w:t>
      </w:r>
    </w:p>
    <w:p>
      <w:pPr>
        <w:ind w:firstLine="640"/>
        <w:rPr>
          <w:rFonts w:hAnsi="Times New Roman" w:cs="Times New Roman"/>
          <w:color w:val="000000" w:themeColor="text1"/>
          <w:szCs w:val="22"/>
        </w:rPr>
      </w:pPr>
      <w:r>
        <w:rPr>
          <w:rFonts w:hint="eastAsia" w:hAnsi="Times New Roman" w:cs="Times New Roman"/>
          <w:color w:val="000000" w:themeColor="text1"/>
          <w:szCs w:val="22"/>
        </w:rPr>
        <w:t>全面融入国内大循环。深化开展多层次区域交流合作，积极参与国内产业链供应链创新链协同建设，强化主要原材料和关键材料稳定供给，引导企业和产品融入国内生产供应体系</w:t>
      </w:r>
      <w:r>
        <w:rPr>
          <w:rFonts w:hint="eastAsia" w:hAnsi="Times New Roman" w:cs="Times New Roman"/>
          <w:szCs w:val="22"/>
        </w:rPr>
        <w:t>，促进产业链上下游、产供销有效衔接</w:t>
      </w:r>
      <w:r>
        <w:rPr>
          <w:rFonts w:hint="eastAsia" w:hAnsi="Times New Roman" w:cs="Times New Roman"/>
          <w:color w:val="000000" w:themeColor="text1"/>
          <w:szCs w:val="22"/>
        </w:rPr>
        <w:t>。推动物联网、集成电路、生物医药、新材料等产业科技优势领域开展关键核心技术攻关，为国内经济循环提供稳定的科技供给。按照市场化方式发展飞地经济，支持有条件的企业跨区域布局加工生产和仓储物流环节，成长为总部型企业。加强与长三角区域内城市产业链供应链协同和平台资源分享共用，推动产业科技协同融合发展，持续推动基础设施共建共享，实现区域经济高效循环和产业关联畅通。依托长江黄金水道，加强与重庆、成都、武汉等长江上中游城市合作交流，与沿江城市联合打造无锡优势产业</w:t>
      </w:r>
      <w:r>
        <w:rPr>
          <w:rFonts w:hint="eastAsia" w:hAnsi="Times New Roman" w:cs="Times New Roman"/>
          <w:szCs w:val="22"/>
        </w:rPr>
        <w:t>的</w:t>
      </w:r>
      <w:r>
        <w:rPr>
          <w:rFonts w:hint="eastAsia" w:hAnsi="Times New Roman" w:cs="Times New Roman"/>
          <w:color w:val="000000" w:themeColor="text1"/>
          <w:szCs w:val="22"/>
        </w:rPr>
        <w:t>生产基地。深化与北京、天津服务对接，联合开展基础研究和应用研究，促进创新成果来锡转移转化，鼓励市场主体参与雄安新区建设。加强与香港、广州、深圳等粤港澳大湾区城市优势互补、互利合作，拓宽国外资本、先进技术和高端人才引进交流渠道。</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国内国际双循环的重要枢纽。坚持开放合作的双循环，充分发挥无锡对外开放前沿城市的基础优势，加强与世界主要经济体互利合作，优化国内国外市场布局，拓展无锡在国内国际双循环相互促进中的功能和作用。加快内贸外贸一体化发展，落实各项内贸外贸法律法规、监管体制、经营资质、质量标准等领域的衔接制度，促进企业内外需产品“同线同标同质”生产，实现内外循环有效链接。开拓多元国际市场，继续深耕欧美日等传统市场，积极融入东亚小循环，发展“一带一路”沿线地区和新兴市场，巩固和拓展国际市场份额。实施贸易投资融合工程，支持企业参与海外并购重组，推动境外投资向研产销全链条拓展。实施本土跨国企业培育计划，鼓励企业建设境外供应链项目，在全球范围实现原料采购、加工生产和运输分销等环节资源高效配置，</w:t>
      </w:r>
      <w:r>
        <w:rPr>
          <w:rFonts w:hint="eastAsia" w:hAnsi="Times New Roman" w:cs="Times New Roman"/>
          <w:color w:val="000000" w:themeColor="text1"/>
          <w:szCs w:val="32"/>
        </w:rPr>
        <w:t>构建海外市场拓展体系，</w:t>
      </w:r>
      <w:r>
        <w:rPr>
          <w:rFonts w:hint="eastAsia" w:hAnsi="Times New Roman" w:cs="Times New Roman"/>
          <w:color w:val="000000" w:themeColor="text1"/>
          <w:szCs w:val="22"/>
        </w:rPr>
        <w:t>打造一批混合所有制或民营国际化产业集团标杆。发展境内合作园区，争取设立中国（江苏）自由贸易试验区联动创新区，完善投资贸易便利化的环境，引进全球产业链供应链的中高端环节，打造跨国公司进入国内大市场的首选地。</w:t>
      </w:r>
    </w:p>
    <w:p>
      <w:pPr>
        <w:ind w:firstLine="640"/>
        <w:rPr>
          <w:rFonts w:hAnsi="Times New Roman" w:cs="Times New Roman"/>
          <w:color w:val="000000" w:themeColor="text1"/>
          <w:szCs w:val="22"/>
        </w:rPr>
      </w:pPr>
      <w:r>
        <w:rPr>
          <w:rFonts w:hint="eastAsia" w:hAnsi="Times New Roman" w:cs="Times New Roman"/>
          <w:color w:val="000000" w:themeColor="text1"/>
          <w:szCs w:val="22"/>
        </w:rPr>
        <w:t>打造畅通经济循环的支撑体系。</w:t>
      </w:r>
      <w:r>
        <w:rPr>
          <w:rFonts w:hint="eastAsia" w:hAnsi="Times New Roman" w:cs="Times New Roman"/>
          <w:color w:val="000000" w:themeColor="text1"/>
          <w:szCs w:val="32"/>
        </w:rPr>
        <w:t>构建核心技术攻关体系，突出应用基础研究，形成、推广、储备一批压箱底技术，</w:t>
      </w:r>
      <w:r>
        <w:rPr>
          <w:rFonts w:hint="eastAsia" w:hAnsi="Times New Roman" w:cs="Times New Roman"/>
          <w:color w:val="000000" w:themeColor="text1"/>
          <w:szCs w:val="22"/>
        </w:rPr>
        <w:t>加强海外高层次科技人才引进，重点吸引跨国公司在锡设立研究中心、研发总部，促进海外先进技术国产化应用。</w:t>
      </w:r>
      <w:r>
        <w:rPr>
          <w:rFonts w:hint="eastAsia" w:hAnsi="Times New Roman" w:cs="Times New Roman"/>
          <w:color w:val="000000" w:themeColor="text1"/>
          <w:szCs w:val="32"/>
        </w:rPr>
        <w:t>构建自主可控产业体系，</w:t>
      </w:r>
      <w:r>
        <w:rPr>
          <w:rFonts w:hint="eastAsia" w:hAnsi="Times New Roman" w:cs="Times New Roman"/>
          <w:color w:val="000000" w:themeColor="text1"/>
          <w:szCs w:val="22"/>
        </w:rPr>
        <w:t>建立重点产业链核心环节配套清单管理制度，联合打</w:t>
      </w:r>
      <w:r>
        <w:rPr>
          <w:rFonts w:hint="eastAsia" w:hAnsi="Times New Roman" w:cs="Times New Roman"/>
          <w:szCs w:val="22"/>
        </w:rPr>
        <w:t>造</w:t>
      </w:r>
      <w:r>
        <w:rPr>
          <w:rFonts w:hint="eastAsia" w:hAnsi="Times New Roman" w:cs="Times New Roman"/>
          <w:color w:val="000000" w:themeColor="text1"/>
          <w:szCs w:val="32"/>
        </w:rPr>
        <w:t>卓越产业链。</w:t>
      </w:r>
      <w:r>
        <w:rPr>
          <w:rFonts w:hint="eastAsia" w:hAnsi="Times New Roman" w:cs="Times New Roman"/>
          <w:color w:val="000000" w:themeColor="text1"/>
          <w:szCs w:val="22"/>
        </w:rPr>
        <w:t>构建现代流通体系，依托中国国际进口博览会溢出效应，增强航空口岸、国际邮件交换局等功能，完善物流中转配送体系。</w:t>
      </w:r>
      <w:r>
        <w:rPr>
          <w:rFonts w:hint="eastAsia" w:hAnsi="Times New Roman" w:cs="Times New Roman"/>
          <w:color w:val="000000" w:themeColor="text1"/>
          <w:szCs w:val="32"/>
        </w:rPr>
        <w:t>构建高标准市场体系，清理废除妨碍统一市场和公平竞争的规定和做法，促进要素畅通流动与高效配置。构建金融服务支撑体系，坚持金融服务实体经济导向，创新更多直达生产流通消费各环节经营主体的金融产品。构建社会信用体系，加强信用信息归集、共享和应用，有效降低社会运行成本。构建海外市场拓展服务体系，强化双向投资开放，支持企业融入全球化产业创新体系。构建消费权益保护体系，精准壮大细分消费市场，营造愿消费、能消费、促消费的良好环境</w:t>
      </w:r>
      <w:r>
        <w:rPr>
          <w:rFonts w:hint="eastAsia" w:hAnsi="Times New Roman" w:cs="Times New Roman"/>
          <w:color w:val="000000" w:themeColor="text1"/>
          <w:szCs w:val="22"/>
        </w:rPr>
        <w:t>。</w:t>
      </w: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69" w:name="_Toc66870191"/>
      <w:bookmarkStart w:id="70" w:name="_Toc55236655"/>
      <w:r>
        <w:rPr>
          <w:rFonts w:ascii="Times New Roman" w:hAnsi="Times New Roman" w:eastAsia="方正黑体_GBK" w:cs="Times New Roman"/>
          <w:bCs/>
          <w:color w:val="000000" w:themeColor="text1"/>
          <w:szCs w:val="32"/>
        </w:rPr>
        <w:t>第七章  加快区域协同发展</w:t>
      </w:r>
      <w:bookmarkEnd w:id="69"/>
      <w:bookmarkEnd w:id="70"/>
    </w:p>
    <w:p>
      <w:pPr>
        <w:ind w:firstLine="640"/>
        <w:rPr>
          <w:rFonts w:hAnsi="Times New Roman" w:cs="Times New Roman"/>
          <w:color w:val="000000" w:themeColor="text1"/>
          <w:szCs w:val="22"/>
        </w:rPr>
      </w:pPr>
      <w:r>
        <w:rPr>
          <w:rFonts w:hint="eastAsia" w:hAnsi="Times New Roman" w:cs="Times New Roman"/>
          <w:color w:val="000000" w:themeColor="text1"/>
          <w:szCs w:val="22"/>
        </w:rPr>
        <w:t>抢抓国家战略叠加机遇，统筹推动区域一体化，持续拓展合作领域、丰富合作形式、创新合作机制，提高区域协调发展水平，巩固提升无锡区域中心城市的地位和能级。</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1" w:name="_Toc66870192"/>
      <w:bookmarkStart w:id="72" w:name="_Toc55236656"/>
      <w:r>
        <w:rPr>
          <w:rFonts w:ascii="Times New Roman" w:hAnsi="Times New Roman" w:eastAsia="方正楷体_GBK" w:cs="Times New Roman"/>
          <w:bCs/>
          <w:color w:val="000000" w:themeColor="text1"/>
          <w:szCs w:val="32"/>
        </w:rPr>
        <w:t>第一节  融入长三角一体化</w:t>
      </w:r>
      <w:bookmarkEnd w:id="71"/>
      <w:bookmarkEnd w:id="72"/>
    </w:p>
    <w:p>
      <w:pPr>
        <w:ind w:firstLine="640"/>
        <w:rPr>
          <w:rFonts w:hAnsi="Times New Roman" w:cs="Times New Roman"/>
          <w:strike/>
          <w:color w:val="000000" w:themeColor="text1"/>
          <w:szCs w:val="22"/>
        </w:rPr>
      </w:pPr>
      <w:r>
        <w:rPr>
          <w:rFonts w:hint="eastAsia" w:hAnsi="Times New Roman" w:cs="Times New Roman"/>
          <w:color w:val="000000" w:themeColor="text1"/>
          <w:szCs w:val="22"/>
        </w:rPr>
        <w:t>深入贯彻落实长三角一体化发展新要求，紧扣“一体化”“高质量”两大关键，强化无锡长三角“C位担当”，建立城际深度合作交流机制，协同联动沪苏浙皖城市，推动构建环太湖创新经济生态圈。</w:t>
      </w:r>
    </w:p>
    <w:p>
      <w:pPr>
        <w:ind w:firstLine="640"/>
        <w:rPr>
          <w:rFonts w:hAnsi="Times New Roman" w:cs="Times New Roman"/>
          <w:color w:val="000000" w:themeColor="text1"/>
          <w:szCs w:val="22"/>
        </w:rPr>
      </w:pPr>
      <w:r>
        <w:rPr>
          <w:rFonts w:hint="eastAsia" w:hAnsi="Times New Roman" w:cs="Times New Roman"/>
          <w:color w:val="000000" w:themeColor="text1"/>
          <w:szCs w:val="22"/>
        </w:rPr>
        <w:t>坚持“四区”发展定位。充分发挥无锡“一点居中、两带联动、十字交叉”的独特区位优势，持续推动东向接轨融入上海大都市圈、北向引领辐射锡常泰跨江发展、南向协同联动宁杭生态经济带建设、西向推动湖湾一体发展，打造长三角先进制造核心区、技术创新先导区、绿色生态标杆区、综合交通枢纽区。联合推动沿沪宁产业创新带和环太湖科技创新圈规划建设，协同促进产业创新、环境治理、基础设施、区域市场、公共服务一体化，提高城市的区域影响力和辐射带动力。</w:t>
      </w:r>
    </w:p>
    <w:p>
      <w:pPr>
        <w:ind w:firstLine="640"/>
        <w:rPr>
          <w:rFonts w:hAnsi="Times New Roman" w:cs="Times New Roman"/>
          <w:color w:val="000000" w:themeColor="text1"/>
          <w:szCs w:val="22"/>
        </w:rPr>
      </w:pPr>
      <w:r>
        <w:rPr>
          <w:rFonts w:hint="eastAsia" w:hAnsi="Times New Roman" w:cs="Times New Roman"/>
          <w:color w:val="000000" w:themeColor="text1"/>
          <w:szCs w:val="22"/>
        </w:rPr>
        <w:t>全面对接融入上海。深</w:t>
      </w:r>
      <w:r>
        <w:rPr>
          <w:rFonts w:hint="eastAsia" w:hAnsi="Times New Roman" w:cs="Times New Roman"/>
          <w:szCs w:val="22"/>
        </w:rPr>
        <w:t>度</w:t>
      </w:r>
      <w:r>
        <w:rPr>
          <w:rFonts w:hint="eastAsia" w:hAnsi="Times New Roman" w:cs="Times New Roman"/>
          <w:color w:val="000000" w:themeColor="text1"/>
          <w:szCs w:val="22"/>
        </w:rPr>
        <w:t>对接上海“四大功能”“五个中心”“五型经济”建设发展，以产业科技、金融服务、对外开放、文化交流、公共服务等领域合作为重点，主动承接上海辐射效应，打造全球资源集聚之地、科技创新应用之地、高端产业承载之地、开放枢纽拓展之地、金融贸易活跃之地，成为上海发挥长三角核心辐射功能和龙头带动作用的重要支点。主动融入上海全球卓越制造基地和国家科学中心建设，加强产业链配套共建，共同构建物联网、集成电路、生物医药、高端装备等具有国际竞争力的优势产业链，探索建立关键核心技术联合攻关、高能级创新载体平台互通、成果异地转移转化和产业创新全流程协同的新机制。主动对接上海国际金融中心建设，规范有序引入境外金融服务机构、科创产业基金和金融团队，引导无锡中小企业、科创企业利用上海资本市场进行融资。主动承接上海自由贸易试验区临港新片区和虹桥国际开放枢纽的溢出效应，支持无锡开放园区复制运用贸易自由化、投资便利化等政策措施，提高商务、贸易制度化协同水平。加强与上海医疗、养老、文旅等服务功能共建共享。</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加快苏锡常都市圈建设。加大与苏州、常州两市合作力度，完善政府间定期协调推进合作机制，</w:t>
      </w:r>
      <w:r>
        <w:rPr>
          <w:rFonts w:hint="eastAsia" w:hAnsi="Times New Roman" w:cs="Times New Roman"/>
          <w:szCs w:val="22"/>
        </w:rPr>
        <w:t>共同打造</w:t>
      </w:r>
      <w:r>
        <w:rPr>
          <w:rFonts w:hint="eastAsia" w:hAnsi="Times New Roman" w:cs="Times New Roman"/>
          <w:color w:val="000000" w:themeColor="text1"/>
          <w:szCs w:val="22"/>
        </w:rPr>
        <w:t>国际化大都市区。推动共建太湖湾科技创新带，促进科技创新深度融合、生态旅游共同开发，协同打造世界级生态湖区和创新湖区。完善区域路网体系，联合实施区域公路畅通工程，加快区域骨干路网建设，构建快速便捷的都市通勤圈。联合制定跨区域产业发展目录，加强新一代信息技术、生物医药、高端装备等优势产业链创新链配套协作，促进产学研联盟合作。推动与苏州、常州开展毗邻地区合作共建，依托苏南硕放区域枢纽机场，推动新吴区和苏州市相城区共创国家级临空经济示范区；支持宜兴市、滨湖区和常州市武进区深化合作，协同发展竺山湖生态旅游区。强化生态环境联保共治，联合开展太湖治理，深化推广望虞河“联合河长制”，完善苏锡常三市上下游生态补偿机制，协同建设环太湖城乡有机废弃物处理利用示范区。推动苏锡常三市教育、医疗、公交等公共服务共建共享。</w:t>
      </w:r>
    </w:p>
    <w:p>
      <w:pPr>
        <w:ind w:firstLine="640"/>
        <w:rPr>
          <w:rFonts w:hAnsi="Times New Roman" w:cs="Times New Roman"/>
          <w:color w:val="000000" w:themeColor="text1"/>
          <w:szCs w:val="22"/>
        </w:rPr>
      </w:pPr>
      <w:r>
        <w:rPr>
          <w:rFonts w:hint="eastAsia" w:hAnsi="Times New Roman" w:cs="Times New Roman"/>
          <w:color w:val="000000" w:themeColor="text1"/>
          <w:szCs w:val="22"/>
        </w:rPr>
        <w:t>推动宁杭生态经济带建设。链接南京、杭州创新资源，重点开展高校院所、科技人才、数字经济等领域的交流合作。推动宜兴市融入“一地六县”长三角产业合作示范区建设，共同打造长三角重要的生态屏障、绿色发展前沿阵地、产业发展高地。开展生态环境跨界合作，强化太湖流域上下游水质和苏浙皖交界地区大气质量监管联防联控，合力构建宁杭绿色生态发展廊道。</w:t>
      </w:r>
    </w:p>
    <w:p>
      <w:pPr>
        <w:ind w:firstLine="640"/>
        <w:rPr>
          <w:rFonts w:hAnsi="Times New Roman" w:cs="Times New Roman"/>
          <w:color w:val="000000" w:themeColor="text1"/>
          <w:szCs w:val="22"/>
        </w:rPr>
      </w:pPr>
      <w:r>
        <w:rPr>
          <w:rFonts w:hint="eastAsia" w:hAnsi="Times New Roman" w:cs="Times New Roman"/>
          <w:color w:val="000000" w:themeColor="text1"/>
          <w:szCs w:val="22"/>
        </w:rPr>
        <w:t>引领锡常泰跨江联动发展。充分利用长江经济带建设契机，联合常州加大与泰州的跨江协同发展力度，主动构建锡泰湖纵向联动机制。增强过江通道能力，提升江阴靖江两地同城化水平。推动江阴、靖江跨江融合发展，促进重点产业、重点园区和重大项目对接配套，提高江阴—靖江工业园区发展质量，打造船舶海工、医药健康、特色冶金、港口物流等特色优势产业集群。</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3" w:name="_Toc55236660"/>
      <w:bookmarkStart w:id="74" w:name="_Toc66870193"/>
      <w:r>
        <w:rPr>
          <w:rFonts w:ascii="Times New Roman" w:hAnsi="Times New Roman" w:eastAsia="方正楷体_GBK" w:cs="Times New Roman"/>
          <w:bCs/>
          <w:color w:val="000000" w:themeColor="text1"/>
          <w:szCs w:val="32"/>
        </w:rPr>
        <w:t>第二节  推进锡澄锡宜一体化</w:t>
      </w:r>
      <w:bookmarkEnd w:id="73"/>
      <w:bookmarkEnd w:id="74"/>
    </w:p>
    <w:p>
      <w:pPr>
        <w:ind w:firstLine="640"/>
        <w:rPr>
          <w:rFonts w:hAnsi="Times New Roman" w:cs="Times New Roman"/>
          <w:color w:val="000000" w:themeColor="text1"/>
          <w:szCs w:val="22"/>
        </w:rPr>
      </w:pPr>
      <w:r>
        <w:rPr>
          <w:rFonts w:hint="eastAsia" w:hAnsi="Times New Roman" w:cs="Times New Roman"/>
          <w:color w:val="000000" w:themeColor="text1"/>
          <w:szCs w:val="22"/>
        </w:rPr>
        <w:t>牢固树立“一盘棋”理念，建立健全锡澄锡宜协同发展机制，高标准建设协同发展区，提高市域一体化发展水平。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锡澄锡宜深度融合。围绕“一体两翼两区”总体空间布局，推动交通基础设施、产业科技、社会民生等领域一体化建设，形成空间共构、功能共生、产业共谋、设施共建的良好格局。加快推进重大交通基础设施建设，构建锡澄“两高两快七普”道路体系，实现锡宜主干道路快速化对接。推动产业链创新链协作分工，共同提升集成电路、高端装备、节能环保、新能源、新材料等重点产业集群协同发展水平，增强全市产业科技综合竞争力。建立健全一体化规划、政策协同制度体系，提高养老、医保等社保民生领域市域联动保障水平。</w:t>
      </w:r>
    </w:p>
    <w:p>
      <w:pPr>
        <w:ind w:firstLine="640"/>
        <w:rPr>
          <w:rFonts w:ascii="Times New Roman" w:hAnsi="Times New Roman" w:cs="Times New Roman"/>
          <w:color w:val="000000" w:themeColor="text1"/>
          <w:szCs w:val="22"/>
        </w:rPr>
      </w:pPr>
      <w:r>
        <w:rPr>
          <w:rFonts w:ascii="Times New Roman" w:hAnsi="Times New Roman" w:cs="Times New Roman"/>
          <w:bCs/>
          <w:color w:val="000000" w:themeColor="text1"/>
          <w:szCs w:val="22"/>
        </w:rPr>
        <w:pict>
          <v:shape id="_x0000_s1029" o:spid="_x0000_s1029" o:spt="202" type="#_x0000_t202" style="position:absolute;left:0pt;margin-top:35.5pt;height:162.75pt;width:437.35pt;mso-position-horizontal:left;mso-position-horizontal-relative:margin;mso-wrap-distance-bottom:3.6pt;mso-wrap-distance-top:3.6pt;z-index:251661312;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">
            <v:path/>
            <v:fill focussize="0,0"/>
            <v:stroke joinstyle="miter"/>
            <v:imagedata o:title=""/>
            <o:lock v:ext="edit"/>
            <v:textbox>
              <w:txbxContent>
                <w:p>
                  <w:pPr>
                    <w:spacing w:line="400" w:lineRule="exact"/>
                    <w:ind w:firstLine="480"/>
                    <w:jc w:val="center"/>
                    <w:rPr>
                      <w:rFonts w:ascii="方正黑体_GBK" w:eastAsia="方正黑体_GBK"/>
                      <w:color w:val="333333"/>
                      <w:sz w:val="24"/>
                      <w:szCs w:val="24"/>
                      <w:shd w:val="clear" w:color="auto" w:fill="FFFFFF"/>
                    </w:rPr>
                  </w:pPr>
                  <w:r>
                    <w:rPr>
                      <w:rFonts w:hint="eastAsia" w:ascii="方正黑体_GBK" w:eastAsia="方正黑体_GBK"/>
                      <w:color w:val="333333"/>
                      <w:sz w:val="24"/>
                      <w:szCs w:val="24"/>
                      <w:shd w:val="clear" w:color="auto" w:fill="FFFFFF"/>
                    </w:rPr>
                    <w:t>锡澄“两高两快七普”道路体系</w:t>
                  </w:r>
                </w:p>
                <w:p>
                  <w:pPr>
                    <w:spacing w:line="400" w:lineRule="exact"/>
                    <w:ind w:firstLine="480"/>
                    <w:rPr>
                      <w:rFonts w:ascii="Times New Roman" w:hAnsi="Times New Roman" w:eastAsia="宋体" w:cs="Times New Roman"/>
                      <w:color w:val="333333"/>
                      <w:sz w:val="24"/>
                      <w:szCs w:val="24"/>
                      <w:shd w:val="clear" w:color="auto" w:fill="FFFFFF"/>
                    </w:rPr>
                  </w:pP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两高：京沪（锡澄）高速公路、锡通高速公路。</w:t>
                  </w: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两快：凤翔路—霞客大道（S260）、新锡路—长山大道（S444）等2条快速路。</w:t>
                  </w:r>
                </w:p>
                <w:p>
                  <w:pPr>
                    <w:spacing w:line="400" w:lineRule="exact"/>
                    <w:ind w:firstLine="480"/>
                    <w:rPr>
                      <w:rFonts w:ascii="Times New Roman" w:hAnsi="Times New Roman" w:eastAsia="宋体" w:cs="Times New Roman"/>
                      <w:color w:val="333333"/>
                      <w:sz w:val="24"/>
                      <w:szCs w:val="24"/>
                      <w:shd w:val="clear" w:color="auto" w:fill="FFFFFF"/>
                    </w:rPr>
                  </w:pPr>
                  <w:r>
                    <w:rPr>
                      <w:rFonts w:ascii="Times New Roman" w:hAnsi="Times New Roman" w:eastAsia="宋体" w:cs="Times New Roman"/>
                      <w:color w:val="333333"/>
                      <w:sz w:val="24"/>
                      <w:szCs w:val="24"/>
                      <w:shd w:val="clear" w:color="auto" w:fill="FFFFFF"/>
                    </w:rPr>
                    <w:t>七普：西环路（S261）-亚包大道、惠澄大道-海港大道、新锡澄路（S229）、锡东大道（S259）-华陆路、友谊路-世纪大道、锡沙线（S340）、飞凤路-长新大道等7条普通干道。</w:t>
                  </w:r>
                </w:p>
              </w:txbxContent>
            </v:textbox>
            <w10:wrap type="topAndBottom"/>
          </v:shape>
        </w:pict>
      </w:r>
    </w:p>
    <w:p>
      <w:pPr>
        <w:ind w:firstLine="0" w:firstLineChars="0"/>
        <w:rPr>
          <w:rFonts w:ascii="Times New Roman" w:hAnsi="Times New Roman" w:cs="Times New Roman"/>
          <w:color w:val="000000" w:themeColor="text1"/>
          <w:szCs w:val="22"/>
        </w:rPr>
      </w:pPr>
    </w:p>
    <w:p>
      <w:pPr>
        <w:ind w:firstLine="640"/>
        <w:rPr>
          <w:rFonts w:hAnsi="Times New Roman" w:cs="Times New Roman"/>
          <w:color w:val="000000" w:themeColor="text1"/>
          <w:szCs w:val="22"/>
        </w:rPr>
      </w:pPr>
      <w:r>
        <w:rPr>
          <w:rFonts w:hint="eastAsia" w:hAnsi="Times New Roman" w:cs="Times New Roman"/>
          <w:color w:val="000000" w:themeColor="text1"/>
          <w:szCs w:val="22"/>
        </w:rPr>
        <w:t>高标准建设协同发展区。落实锡澄协同发展区、锡宜协同发展区规划，优化锡澄、锡宜邻近地区空间布局，提高协同发展区功能层级。加快建设锡澄协同发展区，依托惠</w:t>
      </w:r>
      <w:r>
        <w:rPr>
          <w:rFonts w:hint="eastAsia" w:hAnsi="Times New Roman" w:cs="Times New Roman"/>
          <w:szCs w:val="22"/>
        </w:rPr>
        <w:t>山经济开发区先进制造业优势和江阴马镇湿地生态优势，重点发</w:t>
      </w:r>
      <w:r>
        <w:rPr>
          <w:rFonts w:hint="eastAsia" w:hAnsi="Times New Roman" w:cs="Times New Roman"/>
          <w:color w:val="000000" w:themeColor="text1"/>
          <w:szCs w:val="22"/>
        </w:rPr>
        <w:t>展智能制造、传感信息、新能源、新材料、科技创新、休闲度假、都市农业、湿地经济等特色优势产业，推进霞客湾科学城、惠山城铁国际商务区等载体规划建设，打造先进智造创新服务区、城乡融合田园生态区、锡澄一体战略融合区。加快建设锡宜协同发展区，依托宜兴周铁、万石、芳桥三镇（街道）生态人文聚集优势与滨湖马山湖湾地区旅游资源优势，重点发展文化旅游、生物医药、科技研发、生态农业等绿色产业，推进大拈花湾、渎村水乡、周铁总部园区等项目规划建设，打造长三角著名文化旅游休闲度假区、科创与新经济功能集聚区、生态经济示范区。</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5" w:name="_Toc55236661"/>
      <w:bookmarkStart w:id="76" w:name="_Toc66870194"/>
      <w:r>
        <w:rPr>
          <w:rFonts w:ascii="Times New Roman" w:hAnsi="Times New Roman" w:eastAsia="方正楷体_GBK" w:cs="Times New Roman"/>
          <w:bCs/>
          <w:color w:val="000000" w:themeColor="text1"/>
          <w:szCs w:val="32"/>
        </w:rPr>
        <w:t>第三节  完善交通设施</w:t>
      </w:r>
      <w:bookmarkEnd w:id="75"/>
      <w:r>
        <w:rPr>
          <w:rFonts w:ascii="Times New Roman" w:hAnsi="Times New Roman" w:eastAsia="方正楷体_GBK" w:cs="Times New Roman"/>
          <w:bCs/>
          <w:color w:val="000000" w:themeColor="text1"/>
          <w:szCs w:val="32"/>
        </w:rPr>
        <w:t>网络</w:t>
      </w:r>
      <w:bookmarkEnd w:id="76"/>
    </w:p>
    <w:p>
      <w:pPr>
        <w:ind w:firstLine="640"/>
        <w:rPr>
          <w:rFonts w:hAnsi="Times New Roman" w:cs="Times New Roman"/>
          <w:color w:val="000000" w:themeColor="text1"/>
          <w:szCs w:val="22"/>
        </w:rPr>
      </w:pPr>
      <w:r>
        <w:rPr>
          <w:rFonts w:hint="eastAsia" w:hAnsi="Times New Roman" w:cs="Times New Roman"/>
          <w:color w:val="000000" w:themeColor="text1"/>
          <w:szCs w:val="22"/>
        </w:rPr>
        <w:t>围绕建设交通枢纽名城，加快建设以航空为引领、多层次融合的轨道、高快一体化的公路、内外畅通的水运为支撑的综合立体交通网络体系，到2025年</w:t>
      </w:r>
      <w:r>
        <w:rPr>
          <w:rFonts w:hAnsi="Times New Roman" w:cs="Times New Roman"/>
          <w:color w:val="000000" w:themeColor="text1"/>
          <w:szCs w:val="22"/>
        </w:rPr>
        <w:t>，</w:t>
      </w:r>
      <w:r>
        <w:rPr>
          <w:rFonts w:hint="eastAsia" w:hAnsi="Times New Roman" w:cs="Times New Roman"/>
          <w:color w:val="000000" w:themeColor="text1"/>
          <w:szCs w:val="22"/>
        </w:rPr>
        <w:t>基本实现交通运输现代化。</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区域交通“大通道”。加快推进干线铁路、城际铁路、市域铁路、城市轨道交通“四网融合”规划建设，提高区域性铁路枢纽地位，打造轨道上的无锡。建成南沿江城际铁路、锡澄轨道S1线，开工建设盐泰锡常宜铁路、苏锡常都市快线、锡宜轨道S2线，开展（无）锡虞（常熟）轨道S3线、（无）锡张（家港）轨道S4线前期研究，协同构建环太湖快速交通圈。完善高速公路和国省干线公路网络，建成苏锡常南部高速公路、宜（兴）长（兴）高速公路、江阴第二过江通道，开工建设（无）锡太（仓）高速公路、常（州）宜（兴）高速公路二期、金（坛）宜（兴）高速公路、江阴第三过江通道等工程，扩建沿江高速公路、锡宜高速公路，实施312国道货运分流通道建设工程。</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区域交通“大枢纽”。做大做强苏南硕放区域枢纽机场，优化提升航班进离场分离和雷达管制功能，进一步释放空域和跑道容量，引进培育基地航空公司，拓展加密国际国内航线航班。实施新一轮机场扩建工程，开展第二跑道前期工作。完善机场集疏运体系，推进机场周边道路快速化改造，打造环硕放机场1小时快速出行圈。到2025年，苏南硕放区域枢纽机场旅客吞量达到1500万人次，货邮吞吐量达到30万吨。建成宜兴丁蜀通用机场，建设宜兴通用航空产业园，培育发展空中游览、公务飞行、通航培训会展等业态。高标准建设高铁枢纽站，完善重点车站地区配套服务体系，推动公铁客运联程运输实现零距离换乘。以无锡（江阴）港为重点，健全完善多式联运体系，拓展提升综合保税区和港口综合功能。到2025年，港口货物吞吐量达到2.5亿吨，集装箱吞吐量力争达到100万标箱。加快无锡港内河港口规划建设，完成锡澄运河市区段航道整治工程，推进锡溧漕河航道整治、芜申运河宜兴段航道改线等工程建设。</w:t>
      </w:r>
    </w:p>
    <w:p>
      <w:pPr>
        <w:ind w:firstLine="640"/>
        <w:rPr>
          <w:rFonts w:hAnsi="Times New Roman" w:cs="Times New Roman"/>
          <w:color w:val="000000" w:themeColor="text1"/>
          <w:szCs w:val="22"/>
        </w:rPr>
      </w:pPr>
      <w:r>
        <w:rPr>
          <w:rFonts w:hint="eastAsia" w:hAnsi="Times New Roman" w:cs="Times New Roman"/>
          <w:color w:val="000000" w:themeColor="text1"/>
          <w:szCs w:val="22"/>
        </w:rPr>
        <w:t>畅通市域交通“微循环”。完善一体畅联的城市轨道和高速快速路网，推动市区道路提质扩容。加快城市轨道交通网络建设，建成地铁4号线一期工程，开工建设地铁5号线、6号线、3号线二期和4号线二期工程。实施城市干线快速化改造和路网优化加密工程，推动快速环路和射线路网建设，完成312国道、高浪路（含二期）、钱荣路、通江大道快速化改造，以及凤翔路快速化改造（含北延）、新锡路北延长山大道、江海东路扩容改造等工程，基本建成快速中环线。加强交通网络薄弱地区道路和城市支路建设，打通一批“断头路”，拓宽一批“瓶颈路”，减少高峰时间段城市堵点。推进城市非机动车道建设，完善蠡湖湾、贡湖湾、马山等地区慢行交通系统。优先发展城市公共交通，优化公交线路，实现地铁与常规公交的高效接驳，推进公共停车场建设，搭建城市智慧停车服务平台。提</w:t>
      </w:r>
      <w:r>
        <w:rPr>
          <w:rFonts w:hAnsi="Times New Roman" w:cs="Times New Roman"/>
          <w:color w:val="000000" w:themeColor="text1"/>
          <w:szCs w:val="22"/>
        </w:rPr>
        <w:t>升客货</w:t>
      </w:r>
      <w:r>
        <w:rPr>
          <w:rFonts w:hint="eastAsia" w:hAnsi="Times New Roman" w:cs="Times New Roman"/>
          <w:color w:val="000000" w:themeColor="text1"/>
          <w:szCs w:val="22"/>
        </w:rPr>
        <w:t>运服务质量水平，拓</w:t>
      </w:r>
      <w:r>
        <w:rPr>
          <w:rFonts w:hAnsi="Times New Roman" w:cs="Times New Roman"/>
          <w:color w:val="000000" w:themeColor="text1"/>
          <w:szCs w:val="22"/>
        </w:rPr>
        <w:t>展</w:t>
      </w:r>
      <w:r>
        <w:rPr>
          <w:rFonts w:hint="eastAsia" w:hAnsi="Times New Roman" w:cs="Times New Roman"/>
          <w:color w:val="000000" w:themeColor="text1"/>
          <w:szCs w:val="22"/>
        </w:rPr>
        <w:t>多</w:t>
      </w:r>
      <w:r>
        <w:rPr>
          <w:rFonts w:hAnsi="Times New Roman" w:cs="Times New Roman"/>
          <w:color w:val="000000" w:themeColor="text1"/>
          <w:szCs w:val="22"/>
        </w:rPr>
        <w:t>样化客</w:t>
      </w:r>
      <w:r>
        <w:rPr>
          <w:rFonts w:hint="eastAsia" w:hAnsi="Times New Roman" w:cs="Times New Roman"/>
          <w:color w:val="000000" w:themeColor="text1"/>
          <w:szCs w:val="22"/>
        </w:rPr>
        <w:t>运服务</w:t>
      </w:r>
      <w:r>
        <w:rPr>
          <w:rFonts w:hAnsi="Times New Roman" w:cs="Times New Roman"/>
          <w:color w:val="000000" w:themeColor="text1"/>
          <w:szCs w:val="22"/>
        </w:rPr>
        <w:t>，鼓励和规范</w:t>
      </w:r>
      <w:r>
        <w:rPr>
          <w:rFonts w:hint="eastAsia" w:hAnsi="Times New Roman" w:cs="Times New Roman"/>
          <w:color w:val="000000" w:themeColor="text1"/>
          <w:szCs w:val="22"/>
        </w:rPr>
        <w:t>定</w:t>
      </w:r>
      <w:r>
        <w:rPr>
          <w:rFonts w:hAnsi="Times New Roman" w:cs="Times New Roman"/>
          <w:color w:val="000000" w:themeColor="text1"/>
          <w:szCs w:val="22"/>
        </w:rPr>
        <w:t>制</w:t>
      </w:r>
      <w:r>
        <w:rPr>
          <w:rFonts w:hint="eastAsia" w:hAnsi="Times New Roman" w:cs="Times New Roman"/>
          <w:color w:val="000000" w:themeColor="text1"/>
          <w:szCs w:val="22"/>
        </w:rPr>
        <w:t>客</w:t>
      </w:r>
      <w:r>
        <w:rPr>
          <w:rFonts w:hAnsi="Times New Roman" w:cs="Times New Roman"/>
          <w:color w:val="000000" w:themeColor="text1"/>
          <w:szCs w:val="22"/>
        </w:rPr>
        <w:t>运</w:t>
      </w:r>
      <w:r>
        <w:rPr>
          <w:rFonts w:hint="eastAsia" w:hAnsi="Times New Roman" w:cs="Times New Roman"/>
          <w:color w:val="000000" w:themeColor="text1"/>
          <w:szCs w:val="22"/>
        </w:rPr>
        <w:t>、</w:t>
      </w:r>
      <w:r>
        <w:rPr>
          <w:rFonts w:hAnsi="Times New Roman" w:cs="Times New Roman"/>
          <w:color w:val="000000" w:themeColor="text1"/>
          <w:szCs w:val="22"/>
        </w:rPr>
        <w:t>网约</w:t>
      </w:r>
      <w:r>
        <w:rPr>
          <w:rFonts w:hint="eastAsia" w:hAnsi="Times New Roman" w:cs="Times New Roman"/>
          <w:color w:val="000000" w:themeColor="text1"/>
          <w:szCs w:val="22"/>
        </w:rPr>
        <w:t>车</w:t>
      </w:r>
      <w:r>
        <w:rPr>
          <w:rFonts w:hAnsi="Times New Roman" w:cs="Times New Roman"/>
          <w:color w:val="000000" w:themeColor="text1"/>
          <w:szCs w:val="22"/>
        </w:rPr>
        <w:t>、分时租赁、共享单</w:t>
      </w:r>
      <w:r>
        <w:rPr>
          <w:rFonts w:hint="eastAsia" w:hAnsi="Times New Roman" w:cs="Times New Roman"/>
          <w:color w:val="000000" w:themeColor="text1"/>
          <w:szCs w:val="22"/>
        </w:rPr>
        <w:t>车</w:t>
      </w:r>
      <w:r>
        <w:rPr>
          <w:rFonts w:hAnsi="Times New Roman" w:cs="Times New Roman"/>
          <w:color w:val="000000" w:themeColor="text1"/>
          <w:szCs w:val="22"/>
        </w:rPr>
        <w:t>等</w:t>
      </w:r>
      <w:r>
        <w:rPr>
          <w:rFonts w:hint="eastAsia" w:hAnsi="Times New Roman" w:cs="Times New Roman"/>
          <w:color w:val="000000" w:themeColor="text1"/>
          <w:szCs w:val="22"/>
        </w:rPr>
        <w:t>新</w:t>
      </w:r>
      <w:r>
        <w:rPr>
          <w:rFonts w:hAnsi="Times New Roman" w:cs="Times New Roman"/>
          <w:color w:val="000000" w:themeColor="text1"/>
          <w:szCs w:val="22"/>
        </w:rPr>
        <w:t>模式发展。</w:t>
      </w:r>
      <w:r>
        <w:rPr>
          <w:rFonts w:hint="eastAsia" w:hAnsi="Times New Roman" w:cs="Times New Roman"/>
          <w:color w:val="000000" w:themeColor="text1"/>
          <w:szCs w:val="22"/>
        </w:rPr>
        <w:t>到2025年，公共交通出行分担率达到32%以上，全市实现停车信息共享。</w:t>
      </w:r>
    </w:p>
    <w:p>
      <w:pPr>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r>
        <w:rPr>
          <w:rFonts w:ascii="Times New Roman" w:hAnsi="Times New Roman" w:cs="Times New Roman"/>
          <w:bCs/>
          <w:color w:val="000000" w:themeColor="text1"/>
          <w:szCs w:val="22"/>
        </w:rPr>
        <w:pict>
          <v:shape id="_x0000_s1030" o:spid="_x0000_s1030" o:spt="202" type="#_x0000_t202" style="position:absolute;left:0pt;margin-left:81.75pt;margin-top:7.95pt;height:665.25pt;width:440.75pt;mso-position-horizontal-relative:page;mso-position-vertical-relative:margin;mso-wrap-distance-bottom:3.6pt;mso-wrap-distance-top:3.6pt;z-index:251660288;mso-width-relative:margin;mso-height-relative:margin;" coordsize="21600,21600"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">
            <v:path/>
            <v:fill focussize="0,0"/>
            <v:stroke joinstyle="miter"/>
            <v:imagedata o:title=""/>
            <o:lock v:ext="edit"/>
            <v:textbox>
              <w:txbxContent>
                <w:p>
                  <w:pPr>
                    <w:spacing w:line="400" w:lineRule="exact"/>
                    <w:ind w:firstLine="0" w:firstLineChars="0"/>
                    <w:jc w:val="center"/>
                    <w:rPr>
                      <w:rFonts w:ascii="方正黑体_GBK" w:eastAsia="方正黑体_GBK"/>
                      <w:sz w:val="24"/>
                      <w:szCs w:val="24"/>
                    </w:rPr>
                  </w:pPr>
                  <w:r>
                    <w:rPr>
                      <w:rFonts w:ascii="方正黑体_GBK" w:eastAsia="方正黑体_GBK"/>
                      <w:color w:val="000000" w:themeColor="text1"/>
                      <w:sz w:val="24"/>
                      <w:szCs w:val="24"/>
                    </w:rPr>
                    <w:t>“</w:t>
                  </w:r>
                  <w:r>
                    <w:rPr>
                      <w:rFonts w:hint="eastAsia" w:ascii="方正黑体_GBK" w:eastAsia="方正黑体_GBK"/>
                      <w:color w:val="000000" w:themeColor="text1"/>
                      <w:sz w:val="24"/>
                      <w:szCs w:val="24"/>
                    </w:rPr>
                    <w:t>十</w:t>
                  </w:r>
                  <w:r>
                    <w:rPr>
                      <w:rFonts w:ascii="方正黑体_GBK" w:eastAsia="方正黑体_GBK"/>
                      <w:color w:val="000000" w:themeColor="text1"/>
                      <w:sz w:val="24"/>
                      <w:szCs w:val="24"/>
                    </w:rPr>
                    <w:t>四五”</w:t>
                  </w:r>
                  <w:r>
                    <w:rPr>
                      <w:rFonts w:hint="eastAsia" w:ascii="方正黑体_GBK" w:eastAsia="方正黑体_GBK"/>
                      <w:sz w:val="24"/>
                      <w:szCs w:val="24"/>
                    </w:rPr>
                    <w:t>交通基础设施建设</w:t>
                  </w:r>
                </w:p>
                <w:p>
                  <w:pPr>
                    <w:spacing w:line="300" w:lineRule="exact"/>
                    <w:ind w:firstLine="0" w:firstLineChars="0"/>
                    <w:jc w:val="center"/>
                    <w:rPr>
                      <w:rFonts w:ascii="方正黑体_GBK" w:eastAsia="方正黑体_GBK"/>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机场：</w:t>
                  </w:r>
                  <w:r>
                    <w:rPr>
                      <w:rFonts w:ascii="Times New Roman" w:hAnsi="Times New Roman" w:eastAsia="宋体" w:cs="Times New Roman"/>
                      <w:sz w:val="24"/>
                      <w:szCs w:val="24"/>
                    </w:rPr>
                    <w:t>启动苏南硕放区域枢纽机场新一轮扩建工程，新建快速脱离道、停机坪、货运区东扩等项目，开展第二跑道前期工作。研究新建综合交通换乘中心，完善异地出租车返程载客配套政策。建成宜兴丁蜀通用机场。</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轨道交通：</w:t>
                  </w:r>
                  <w:r>
                    <w:rPr>
                      <w:rFonts w:ascii="Times New Roman" w:hAnsi="Times New Roman" w:eastAsia="宋体" w:cs="Times New Roman"/>
                      <w:sz w:val="24"/>
                      <w:szCs w:val="24"/>
                    </w:rPr>
                    <w:t>建成南沿江城际铁路、锡澄轨道S1线；开工建设盐泰锡常宜铁路、苏锡常都市快线、锡宜轨道S2线；开展锡虞轨道S3线、锡张轨道S4线、盐泰锡常宜铁路南延（至湖州）和西延（至宣城）研究。完成第</w:t>
                  </w:r>
                  <w:r>
                    <w:rPr>
                      <w:rFonts w:ascii="Times New Roman" w:hAnsi="Times New Roman" w:eastAsia="宋体" w:cs="Times New Roman"/>
                      <w:color w:val="000000" w:themeColor="text1"/>
                      <w:sz w:val="24"/>
                      <w:szCs w:val="24"/>
                    </w:rPr>
                    <w:t>四</w:t>
                  </w:r>
                  <w:r>
                    <w:rPr>
                      <w:rFonts w:ascii="Times New Roman" w:hAnsi="Times New Roman" w:eastAsia="宋体" w:cs="Times New Roman"/>
                      <w:sz w:val="24"/>
                      <w:szCs w:val="24"/>
                    </w:rPr>
                    <w:t>期轨道交通建设规划，建成地铁4号线一期工程，开工建设地铁5号线、6号线、3号线二期、4号线二期工程，开展市区至钱桥（藕塘）至胡埭至马山轨道交通、地铁3号线二期南延对接苏州地铁14号线工程研究。</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高速公路和国省干道：</w:t>
                  </w:r>
                  <w:r>
                    <w:rPr>
                      <w:rFonts w:ascii="Times New Roman" w:hAnsi="Times New Roman" w:eastAsia="宋体" w:cs="Times New Roman"/>
                      <w:sz w:val="24"/>
                      <w:szCs w:val="24"/>
                    </w:rPr>
                    <w:t>建成江阴第二过江通道，开工建设江阴第三过江通道、过江通道衔接道路，开展靖澄过江通道前期研究。建成宜（兴）长（兴）高速公路、苏锡常南部高速公路；开工建设（无）锡太（仓）高速公路、常（州）宜（兴）高速公路二期、金（坛）宜（兴）高速公路；扩建沿江高速公路、锡宜高速公路。推进104国道环科园改线段、229省道（暨南大道-惠山界）、230省道（具区路）（苏州界-蠡湖大道）、261省道（唐平大道-暨南大道）、340省道（西环线-常州界）、341省道（含宜马快速通道）、342省道张渚改线段、357省道（桐前路-常州界）等项目建设。实施312国道货运分流通道工程，开展312国道快速化改造。</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城市道路：</w:t>
                  </w:r>
                  <w:r>
                    <w:rPr>
                      <w:rFonts w:ascii="Times New Roman" w:hAnsi="Times New Roman" w:eastAsia="宋体" w:cs="Times New Roman"/>
                      <w:sz w:val="24"/>
                      <w:szCs w:val="24"/>
                    </w:rPr>
                    <w:t>建成高浪路快速化改造及二期、钱荣路快速化改造等工程，基本形成快速中环线。建成凤翔路快速化改造及北延、通江大道快速化改造、新锡路北延长山大道、江海东路扩容改造等工程；开工建设范蠡大道快速路等工程；规划建设雪梅路快速化及南延、市区至机场第二快速通道。改造提升长江路、华友中路等城市重点道路。</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航道：</w:t>
                  </w:r>
                  <w:r>
                    <w:rPr>
                      <w:rFonts w:ascii="Times New Roman" w:hAnsi="Times New Roman" w:eastAsia="宋体" w:cs="Times New Roman"/>
                      <w:sz w:val="24"/>
                      <w:szCs w:val="24"/>
                    </w:rPr>
                    <w:t>建设锡溧漕河航道整治工程，开工建设芜申线宜兴段航道整治工程，完成锡澄运河市区段航道整治工程。</w:t>
                  </w:r>
                </w:p>
                <w:p>
                  <w:pPr>
                    <w:spacing w:line="400" w:lineRule="exact"/>
                    <w:ind w:firstLine="0" w:firstLineChars="0"/>
                    <w:rPr>
                      <w:rFonts w:ascii="Times New Roman" w:hAnsi="Times New Roman" w:eastAsia="宋体" w:cs="Times New Roman"/>
                      <w:sz w:val="24"/>
                      <w:szCs w:val="24"/>
                    </w:rPr>
                  </w:pPr>
                </w:p>
                <w:p>
                  <w:pPr>
                    <w:spacing w:line="400" w:lineRule="exact"/>
                    <w:ind w:firstLine="0" w:firstLineChars="0"/>
                    <w:rPr>
                      <w:rFonts w:ascii="Times New Roman" w:hAnsi="Times New Roman" w:eastAsia="宋体" w:cs="Times New Roman"/>
                      <w:sz w:val="24"/>
                      <w:szCs w:val="24"/>
                    </w:rPr>
                  </w:pPr>
                  <w:r>
                    <w:rPr>
                      <w:rFonts w:ascii="Times New Roman" w:hAnsi="Times New Roman" w:eastAsia="宋体" w:cs="Times New Roman"/>
                      <w:bCs/>
                      <w:sz w:val="24"/>
                      <w:szCs w:val="24"/>
                    </w:rPr>
                    <w:t>港口码头：</w:t>
                  </w:r>
                  <w:r>
                    <w:rPr>
                      <w:rFonts w:ascii="Times New Roman" w:hAnsi="Times New Roman" w:eastAsia="宋体" w:cs="Times New Roman"/>
                      <w:sz w:val="24"/>
                      <w:szCs w:val="24"/>
                    </w:rPr>
                    <w:t>建设无锡（江阴）港申夏港区深水码头、长山港区，研究发展邮轮客运码头，规划建设大型综合性公用港区。建设无锡内河港新安大桥作业区。</w:t>
                  </w:r>
                </w:p>
                <w:p>
                  <w:pPr>
                    <w:ind w:firstLine="640"/>
                  </w:pPr>
                </w:p>
              </w:txbxContent>
            </v:textbox>
            <w10:wrap type="topAndBottom"/>
          </v:shape>
        </w:pict>
      </w: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77" w:name="_Toc55236657"/>
      <w:bookmarkStart w:id="78" w:name="_Toc66870195"/>
      <w:bookmarkStart w:id="79" w:name="_Toc55236658"/>
      <w:r>
        <w:rPr>
          <w:rFonts w:ascii="Times New Roman" w:hAnsi="Times New Roman" w:eastAsia="方正楷体_GBK" w:cs="Times New Roman"/>
          <w:bCs/>
          <w:color w:val="000000" w:themeColor="text1"/>
          <w:szCs w:val="32"/>
        </w:rPr>
        <w:t>第四节  推动地区合作交流</w:t>
      </w:r>
      <w:bookmarkEnd w:id="77"/>
      <w:bookmarkEnd w:id="78"/>
    </w:p>
    <w:p>
      <w:pPr>
        <w:ind w:firstLine="640"/>
        <w:rPr>
          <w:rFonts w:hAnsi="Times New Roman" w:cs="Times New Roman"/>
          <w:color w:val="000000" w:themeColor="text1"/>
          <w:szCs w:val="22"/>
        </w:rPr>
      </w:pPr>
      <w:r>
        <w:rPr>
          <w:rFonts w:hint="eastAsia" w:hAnsi="Times New Roman" w:cs="Times New Roman"/>
          <w:color w:val="000000" w:themeColor="text1"/>
          <w:szCs w:val="22"/>
        </w:rPr>
        <w:t>坚持融入大局、加强合作、互荣共进，紧密联系重点区域和重点城市，形成全方位、宽领域、多层次的区域合作交流新局面。</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南北交流合作。以园区合作共建为主要载体，全力推进无锡—徐州工业园区创建省级高质量发展创新试点园区，江阴—睢宁工业园等共建园区创建省级特色园区，支持重点企业在两地之间跨区域布局，实现产业链合作协同。优化县区挂钩合作机制，支持挂钩县区引进投资规模大、带动力强的现代产业项目。推动无锡徐州两地现代农业协同发展，深化开展村企对接共建行动，加强现代服务业协同创新，促进科教文卫等领域务实合作。融入江苏向海发展战略部署，加强与南通、盐城</w:t>
      </w:r>
      <w:r>
        <w:rPr>
          <w:rFonts w:hint="eastAsia" w:hAnsi="Times New Roman" w:cs="Times New Roman"/>
          <w:szCs w:val="22"/>
        </w:rPr>
        <w:t>等城市开展</w:t>
      </w:r>
      <w:r>
        <w:rPr>
          <w:rFonts w:hint="eastAsia" w:hAnsi="Times New Roman" w:cs="Times New Roman"/>
          <w:color w:val="000000" w:themeColor="text1"/>
          <w:szCs w:val="22"/>
        </w:rPr>
        <w:t>产业、园区、港航、人才</w:t>
      </w:r>
      <w:r>
        <w:rPr>
          <w:rFonts w:hint="eastAsia" w:hAnsi="Times New Roman" w:cs="Times New Roman"/>
          <w:szCs w:val="22"/>
        </w:rPr>
        <w:t>等领域</w:t>
      </w:r>
      <w:r>
        <w:rPr>
          <w:rFonts w:hint="eastAsia" w:hAnsi="Times New Roman" w:cs="Times New Roman"/>
          <w:color w:val="000000" w:themeColor="text1"/>
          <w:szCs w:val="22"/>
        </w:rPr>
        <w:t>交流合作。</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对口支援帮扶合作。持续完善对口援疆体制机制，培育壮大霍城县、阿合奇县特色优势产业，促进援建项目资金更多地向基层倾斜、向保障改善民生倾斜，提高援疆工作成效。继续做好与陕西省延安市、青海省海东市、辽宁省盘锦市、重庆市云阳县对口帮扶合作，协助提高当地经济社会发展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加强与港澳台地区合作。</w:t>
      </w:r>
      <w:r>
        <w:rPr>
          <w:rFonts w:hint="eastAsia" w:hAnsi="Times New Roman" w:cs="Times New Roman"/>
          <w:szCs w:val="22"/>
        </w:rPr>
        <w:t>深化</w:t>
      </w:r>
      <w:r>
        <w:rPr>
          <w:rFonts w:hint="eastAsia" w:hAnsi="Times New Roman" w:cs="Times New Roman"/>
          <w:color w:val="000000" w:themeColor="text1"/>
          <w:szCs w:val="22"/>
        </w:rPr>
        <w:t>锡港澳交流合作，完善便利港澳居民在锡发展的政策措施，健全与港澳地区人大代表、政协委员、有关社团及各界代表人士的长效联系机制，发展爱国爱港爱乡力量。优化惠台各项措施，支持锡山台湾农民创业园、</w:t>
      </w:r>
      <w:r>
        <w:rPr>
          <w:rFonts w:hint="eastAsia" w:hAnsi="Times New Roman" w:cs="Times New Roman"/>
          <w:szCs w:val="22"/>
        </w:rPr>
        <w:t>滨湖</w:t>
      </w:r>
      <w:r>
        <w:rPr>
          <w:rFonts w:hint="eastAsia" w:hAnsi="Times New Roman" w:cs="Times New Roman"/>
          <w:color w:val="000000" w:themeColor="text1"/>
          <w:szCs w:val="22"/>
        </w:rPr>
        <w:t>山水城江苏省台湾青年就业创业基地等载体建设，为在锡台胞提供投资、学习、就业、创业、生活便利服务，促进锡台两地经贸人文交流。</w:t>
      </w:r>
    </w:p>
    <w:p>
      <w:pPr>
        <w:ind w:firstLine="640"/>
        <w:rPr>
          <w:rFonts w:hAnsi="Times New Roman" w:cs="Times New Roman"/>
          <w:color w:val="000000" w:themeColor="text1"/>
          <w:szCs w:val="22"/>
        </w:rPr>
      </w:pP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方正黑体_GBK" w:hAnsi="Times New Roman" w:eastAsia="方正黑体_GBK" w:cs="Times New Roman"/>
          <w:bCs/>
          <w:color w:val="000000" w:themeColor="text1"/>
          <w:szCs w:val="32"/>
        </w:rPr>
      </w:pPr>
      <w:bookmarkStart w:id="80" w:name="_Toc66870196"/>
      <w:r>
        <w:rPr>
          <w:rFonts w:hint="eastAsia" w:ascii="方正黑体_GBK" w:hAnsi="Times New Roman" w:eastAsia="方正黑体_GBK" w:cs="Times New Roman"/>
          <w:bCs/>
          <w:color w:val="000000" w:themeColor="text1"/>
          <w:szCs w:val="32"/>
        </w:rPr>
        <w:t xml:space="preserve">第八章  </w:t>
      </w:r>
      <w:bookmarkEnd w:id="79"/>
      <w:r>
        <w:rPr>
          <w:rFonts w:hint="eastAsia" w:ascii="方正黑体_GBK" w:hAnsi="Times New Roman" w:eastAsia="方正黑体_GBK" w:cs="Times New Roman"/>
          <w:bCs/>
          <w:color w:val="000000" w:themeColor="text1"/>
          <w:szCs w:val="32"/>
        </w:rPr>
        <w:t>做强中心城市功能</w:t>
      </w:r>
      <w:bookmarkEnd w:id="80"/>
    </w:p>
    <w:p>
      <w:pPr>
        <w:ind w:firstLine="640"/>
        <w:rPr>
          <w:rFonts w:hAnsi="Times New Roman" w:cs="Times New Roman"/>
          <w:color w:val="000000" w:themeColor="text1"/>
          <w:szCs w:val="22"/>
        </w:rPr>
      </w:pPr>
      <w:r>
        <w:rPr>
          <w:rFonts w:hint="eastAsia" w:hAnsi="Times New Roman" w:cs="Times New Roman"/>
          <w:color w:val="000000" w:themeColor="text1"/>
          <w:szCs w:val="22"/>
        </w:rPr>
        <w:t>落实新型城镇化新要求，优化国土空间布局，强化城市综合服务功能，完善功能性基础设施支撑体系，提升智慧化运营水平，建设具有国际影响力和竞争力的现代化都市区。</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81" w:name="_Toc55236659"/>
      <w:bookmarkStart w:id="82" w:name="_Toc66870197"/>
      <w:r>
        <w:rPr>
          <w:rFonts w:ascii="Times New Roman" w:hAnsi="Times New Roman" w:eastAsia="方正楷体_GBK" w:cs="Times New Roman"/>
          <w:bCs/>
          <w:color w:val="000000" w:themeColor="text1"/>
          <w:szCs w:val="32"/>
        </w:rPr>
        <w:t>第一节  优化城市空间</w:t>
      </w:r>
      <w:bookmarkEnd w:id="81"/>
      <w:r>
        <w:rPr>
          <w:rFonts w:ascii="Times New Roman" w:hAnsi="Times New Roman" w:eastAsia="方正楷体_GBK" w:cs="Times New Roman"/>
          <w:bCs/>
          <w:color w:val="000000" w:themeColor="text1"/>
          <w:szCs w:val="32"/>
        </w:rPr>
        <w:t>格局</w:t>
      </w:r>
      <w:bookmarkEnd w:id="82"/>
    </w:p>
    <w:p>
      <w:pPr>
        <w:ind w:firstLine="640"/>
        <w:rPr>
          <w:rFonts w:hAnsi="Times New Roman" w:cs="Times New Roman"/>
          <w:color w:val="000000" w:themeColor="text1"/>
          <w:szCs w:val="22"/>
        </w:rPr>
      </w:pPr>
      <w:r>
        <w:rPr>
          <w:rFonts w:hint="eastAsia" w:hAnsi="Times New Roman" w:cs="Times New Roman"/>
          <w:color w:val="000000" w:themeColor="text1"/>
          <w:szCs w:val="22"/>
        </w:rPr>
        <w:t>优化城市功能布局，推动完善城镇体系与提升城市功能互促共进，形成功能清晰、协同有序的市域国土空间。</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国土空间管控。统一规划技术基础、统筹各类规划边界和管控要求，推动“多规合一”，建立健全市、市（县）区、镇三级和总体规划、详细规划、专项规划三类的国土空间规划体系，形成市域国土空间开发保护“一张图”。加强国土空间开发保护，强化规划执行的刚性约束。建立健全国土空间规划动态监测、定期评估预警和实施监管机制。加快基础测绘建设，提升地理信息资源现势性和覆盖范围。到2025年，形成以国土空间规划为基础，以统一用途管制为手段的国土空间开发保护制度。</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城镇布局体系。按照“一轴一环三带、一体两翼两区”市域国土空间总体格局，规划形成1个主中心城区，江阴、宜兴2个副中心城区，北部片区（锡澄协同发展区）、西部片区（锡宜协同发展区）和东部片区（锡东绿色发展区）等3个综合片区，惠山洛社、江阴利港—璜土、宜兴官林等若干新市镇构成的城镇体系新格局。加强新市镇的基础设施建设和公共服务功能拓展，深化乡镇行政管理体制改革，力争形成一批人口相对集聚、综合实力较强、功能配套齐全的小城市。持续改善一般小城镇的镇容镇</w:t>
      </w:r>
      <w:r>
        <w:rPr>
          <w:rFonts w:hint="eastAsia" w:hAnsi="Times New Roman" w:cs="Times New Roman"/>
          <w:szCs w:val="22"/>
        </w:rPr>
        <w:t>貌，择优培育一批重点中心镇和特色小城镇，规范建设特色小镇，</w:t>
      </w:r>
      <w:r>
        <w:rPr>
          <w:rFonts w:hint="eastAsia" w:hAnsi="Times New Roman" w:cs="Times New Roman"/>
          <w:color w:val="000000" w:themeColor="text1"/>
          <w:szCs w:val="22"/>
        </w:rPr>
        <w:t>提</w:t>
      </w:r>
      <w:r>
        <w:rPr>
          <w:rFonts w:hAnsi="Times New Roman" w:cs="Times New Roman"/>
          <w:color w:val="000000" w:themeColor="text1"/>
          <w:szCs w:val="22"/>
        </w:rPr>
        <w:t>高</w:t>
      </w:r>
      <w:r>
        <w:rPr>
          <w:rFonts w:hint="eastAsia" w:hAnsi="Times New Roman" w:cs="Times New Roman"/>
          <w:color w:val="000000" w:themeColor="text1"/>
          <w:szCs w:val="22"/>
        </w:rPr>
        <w:t>对周边乡村地区的服务功能。</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加强市区“一体”综合功能。加快中心城区资源整合、功能完善，形成</w:t>
      </w:r>
      <w:r>
        <w:rPr>
          <w:rFonts w:hint="eastAsia" w:hAnsi="Times New Roman" w:cs="Times New Roman"/>
          <w:szCs w:val="22"/>
        </w:rPr>
        <w:t>“一城两核三片六组团</w:t>
      </w:r>
      <w:r>
        <w:rPr>
          <w:rStyle w:val="27"/>
          <w:rFonts w:hint="eastAsia" w:hAnsi="Times New Roman" w:cs="Times New Roman"/>
          <w:szCs w:val="22"/>
        </w:rPr>
        <w:footnoteReference w:id="3"/>
      </w:r>
      <w:r>
        <w:rPr>
          <w:rFonts w:hint="eastAsia" w:hAnsi="Times New Roman" w:cs="Times New Roman"/>
          <w:color w:val="000000" w:themeColor="text1"/>
          <w:szCs w:val="22"/>
        </w:rPr>
        <w:t>”市区国土空间布局。推动梁溪老城、太湖新城“双核”融合发展，加快推进锡山区、惠山区、滨湖区、新吴区与“双核”有机协同，共同增强产业创新聚合功能、文商旅服务功能、枢纽辐射功能，持续提升中心城区综合能级。增强产业创新聚合功能，促进先进制造与科技创新深度融合发展，重点提升无锡国家高新技术产业开发区、锡山经济技术开发区、惠山经济技术开发区、无锡国家工业设计园发展水平，加快建设雪浪小镇、大数据产业园等载体平台，高水平建设梁溪科技城和惠山新城，提升无锡在国际国内产业分工协作体系中的地位。增强文商旅服务功能，依托历史文化和自然山水资源，优化提升太湖国家旅游度假区、阳山生态休闲旅游度假区、山水城旅游度假区、翠屏山旅游度假区、鸿山旅游度假区、江南古运河旅游度假区功能，高标准规划建设蠡湖未来城，推进中山路核心商圈整体改造升级，提高城市消费集聚能级。增强枢纽辐射功能，依托重大交通基础设施建设，高层级规划建设新吴空港枢纽、惠山城铁国际商务区，增强锡东新城商务区的区域辐射引领作用。探索建立区与区之间、园区与园区之间产业转移、重大基础设施建设等成本共担、利益共享机制，统筹推动各地区聚焦优势、发挥所长、形成合力。</w:t>
      </w:r>
    </w:p>
    <w:p>
      <w:pPr>
        <w:ind w:firstLine="640"/>
        <w:rPr>
          <w:rFonts w:hAnsi="Times New Roman" w:cs="Times New Roman"/>
          <w:color w:val="000000" w:themeColor="text1"/>
          <w:szCs w:val="22"/>
        </w:rPr>
      </w:pPr>
      <w:r>
        <w:rPr>
          <w:rFonts w:hint="eastAsia" w:hAnsi="Times New Roman" w:cs="Times New Roman"/>
          <w:color w:val="000000" w:themeColor="text1"/>
          <w:szCs w:val="22"/>
        </w:rPr>
        <w:t>发挥江阴宜兴“两翼”支撑作用。充分发挥江阴综合实力优势以及跨江融合引领作用，提升发展江阴高新技术产业开发区、江阴临港经济开发区，增强无锡（江阴）港区域服务功能，同步推进产业转型升级和生态环境保护，打造长江生态安全示范区和现代化滨江花园城市。充分发挥宜兴经济生态综合优势，提升发展宜兴经济技术开发区和宜兴环保科技工业园，提升跨省集聚辐射功能，打造宁杭生态经济带新兴中心城市和苏浙皖交界区域性中心城市。</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83" w:name="_Toc55236662"/>
      <w:bookmarkStart w:id="84" w:name="_Toc66870198"/>
      <w:r>
        <w:rPr>
          <w:rFonts w:ascii="Times New Roman" w:hAnsi="Times New Roman" w:eastAsia="方正楷体_GBK" w:cs="Times New Roman"/>
          <w:bCs/>
          <w:color w:val="000000" w:themeColor="text1"/>
          <w:szCs w:val="32"/>
        </w:rPr>
        <w:t xml:space="preserve">第二节  </w:t>
      </w:r>
      <w:bookmarkEnd w:id="83"/>
      <w:r>
        <w:rPr>
          <w:rFonts w:ascii="Times New Roman" w:hAnsi="Times New Roman" w:eastAsia="方正楷体_GBK" w:cs="Times New Roman"/>
          <w:bCs/>
          <w:color w:val="000000" w:themeColor="text1"/>
          <w:szCs w:val="32"/>
        </w:rPr>
        <w:t>提升城市功能品质</w:t>
      </w:r>
      <w:bookmarkEnd w:id="84"/>
    </w:p>
    <w:p>
      <w:pPr>
        <w:ind w:firstLine="640"/>
        <w:rPr>
          <w:rFonts w:hAnsi="Times New Roman" w:cs="Times New Roman"/>
          <w:color w:val="000000" w:themeColor="text1"/>
          <w:szCs w:val="22"/>
        </w:rPr>
      </w:pPr>
      <w:r>
        <w:rPr>
          <w:rFonts w:hint="eastAsia" w:hAnsi="Times New Roman" w:cs="Times New Roman"/>
          <w:color w:val="000000" w:themeColor="text1"/>
          <w:szCs w:val="22"/>
        </w:rPr>
        <w:t>以高水准设计引领城市更新，以“绣花”功夫推动城市高效管理，塑造城市特色风貌，打造高品质国际化城市。</w:t>
      </w:r>
    </w:p>
    <w:p>
      <w:pPr>
        <w:ind w:firstLine="640"/>
        <w:rPr>
          <w:rFonts w:hAnsi="Times New Roman" w:cs="Times New Roman"/>
          <w:strike/>
          <w:color w:val="000000" w:themeColor="text1"/>
          <w:szCs w:val="22"/>
        </w:rPr>
      </w:pPr>
      <w:r>
        <w:rPr>
          <w:rFonts w:hint="eastAsia" w:hAnsi="Times New Roman" w:cs="Times New Roman"/>
          <w:color w:val="000000" w:themeColor="text1"/>
          <w:szCs w:val="22"/>
        </w:rPr>
        <w:t>提高城市设计更新水平。统筹城市规划建设管理，构建四级城市设计编制体系，加强重点地区的风貌管控和精细化设计，推动城市设计在市区范围内全类型覆盖。统筹推进城市有机更新，建立完善城市更新单元制度，</w:t>
      </w:r>
      <w:r>
        <w:rPr>
          <w:rFonts w:hint="eastAsia" w:hAnsi="Times New Roman" w:cs="Times New Roman"/>
          <w:szCs w:val="22"/>
        </w:rPr>
        <w:t>以</w:t>
      </w:r>
      <w:r>
        <w:rPr>
          <w:rFonts w:hint="eastAsia" w:hAnsi="Times New Roman" w:cs="Times New Roman"/>
          <w:color w:val="000000" w:themeColor="text1"/>
          <w:szCs w:val="22"/>
        </w:rPr>
        <w:t>梁溪老城等区域为重点，开展城市功能修补和生态修复，因地制宜推动棚户区、老住宅区实施搬迁、改造和整治工程，促进产业园区转型提升，改善生产生活生态品质。</w:t>
      </w:r>
      <w:r>
        <w:rPr>
          <w:rFonts w:hint="eastAsia" w:hAnsi="Times New Roman" w:cs="Times New Roman"/>
          <w:szCs w:val="22"/>
        </w:rPr>
        <w:t>树立“窄马路、密路网”道路布局理念，推行空间重塑和留白，</w:t>
      </w:r>
      <w:r>
        <w:rPr>
          <w:rFonts w:hint="eastAsia" w:hAnsi="Times New Roman" w:cs="Times New Roman"/>
          <w:color w:val="000000" w:themeColor="text1"/>
          <w:szCs w:val="22"/>
        </w:rPr>
        <w:t>引入产城融合、站城一体、城市家具等先进理念，创新城市微空间更新模式，通过“节点式”“菜单式”“个性化”改造，活化文化基因，展现特色风貌，建成一批多重功能复合利用的高品质街区。实施视觉形象建设工程，强化城市色彩和形态管理，推进城市亮化工程，因地制宜设置城市雕塑。</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城市精细化管理。优化城市重点设施设置规范，推动市容市貌、环境卫生、园林绿化、道路交通、工地管理等重点领域形成试点示范，打造全国最干净城市。加大城市管理力度，完善城市管理机制，建设一批城市管理标杆项目。建立健全交通秩序整治长效机制，完善道路交通安全和智慧交管设施。加强建设工程施工管理，实现工地围挡美观化、现场监控智能化、文明施工常态化，有效控制工地扬尘污染。加强户外广告管理，力争户外广告设施规范化管理水平居全国前列。深化环卫市场化改革，持续推进“厕所革命”，优化公厕布局，提高建设标准。持续开展市容整治“春雷行动”，重点推进环卫保洁提升、背街小巷整治、无障碍设施建设，开展违法建设、无序设摊、违规停车、违规处置建筑垃圾等专项整治行动。推进市政设施“多杆合一”“多箱合一”，规范设置道路井盖、导向标识、栏杆围挡。到2025年，市级安全文明标准化工地覆盖率达50%以上，城市二类及以上公厕占比达65%，背街小巷“环境差”“秩序乱”“行路难”等问题基本解决，建成区范围内各类市容显见性问题基本消除。</w:t>
      </w:r>
    </w:p>
    <w:p>
      <w:pPr>
        <w:ind w:firstLine="640"/>
        <w:rPr>
          <w:rFonts w:hAnsi="Times New Roman" w:cs="Times New Roman"/>
          <w:color w:val="000000" w:themeColor="text1"/>
          <w:szCs w:val="22"/>
        </w:rPr>
      </w:pPr>
      <w:r>
        <w:rPr>
          <w:rFonts w:hint="eastAsia" w:hAnsi="Times New Roman" w:cs="Times New Roman"/>
          <w:color w:val="000000" w:themeColor="text1"/>
          <w:szCs w:val="22"/>
        </w:rPr>
        <w:t>提高城市国际化水平。打造高品质城市中央商务区，增强解放环路内商务商贸区、太湖新城金融商务区等核心区域综合功能，提高锡东新城商务区等区域特色功能，</w:t>
      </w:r>
      <w:r>
        <w:rPr>
          <w:rFonts w:hint="eastAsia" w:hAnsi="Times New Roman" w:cs="Times New Roman"/>
          <w:color w:val="000000" w:themeColor="text1"/>
        </w:rPr>
        <w:t>建设国际学校、国际医院、国际街区、国际小区，</w:t>
      </w:r>
      <w:r>
        <w:rPr>
          <w:rFonts w:hint="eastAsia" w:hAnsi="Times New Roman" w:cs="Times New Roman"/>
          <w:color w:val="000000" w:themeColor="text1"/>
          <w:szCs w:val="22"/>
        </w:rPr>
        <w:t>满足国际机构和外籍人员工作生活需求。</w:t>
      </w:r>
      <w:r>
        <w:rPr>
          <w:rFonts w:hint="eastAsia" w:hAnsi="Times New Roman" w:cs="Times New Roman"/>
          <w:color w:val="000000" w:themeColor="text1"/>
          <w:kern w:val="0"/>
          <w:szCs w:val="32"/>
        </w:rPr>
        <w:t>推进教育对外交流合作，支持江南大学、无锡学院、无锡太湖学院等在锡高校与境外知名高校等优质教育资源开展合作，吸引外国留学生来锡学习。</w:t>
      </w:r>
      <w:r>
        <w:rPr>
          <w:rFonts w:hint="eastAsia" w:hAnsi="Times New Roman" w:cs="Times New Roman"/>
          <w:color w:val="000000" w:themeColor="text1"/>
          <w:szCs w:val="22"/>
        </w:rPr>
        <w:t>推进医疗设施国际化，加快SK海力士国际医院合作建设。引进国外知名品牌酒店和特色餐饮企业，提高涉外酒店国际标准化服务水平，完善面向境外旅客的咨询服务设施功能，提高全域旅游国际化水平。高水平规划建设国际会议中心，引进培育国际化品牌展会，承办国际性体育赛事和活动。健全国际化城市标识系统，实现重要场所、重要机构和重要设施国际化标识全覆盖。</w:t>
      </w:r>
    </w:p>
    <w:p>
      <w:pPr>
        <w:ind w:firstLine="640"/>
        <w:rPr>
          <w:rFonts w:hAnsi="Times New Roman" w:cs="Times New Roman"/>
          <w:color w:val="000000" w:themeColor="text1"/>
          <w:szCs w:val="22"/>
        </w:rPr>
      </w:pPr>
    </w:p>
    <w:p>
      <w:pPr>
        <w:pStyle w:val="4"/>
        <w:rPr>
          <w:rFonts w:ascii="Times New Roman" w:hAnsi="Times New Roman" w:cs="Times New Roman"/>
          <w:color w:val="000000" w:themeColor="text1"/>
        </w:rPr>
      </w:pPr>
      <w:bookmarkStart w:id="85" w:name="_Toc66870199"/>
      <w:r>
        <w:rPr>
          <w:rFonts w:ascii="Times New Roman" w:hAnsi="Times New Roman" w:cs="Times New Roman"/>
          <w:color w:val="000000" w:themeColor="text1"/>
        </w:rPr>
        <w:t>第三节  完善城市功能性基础设施</w:t>
      </w:r>
      <w:bookmarkEnd w:id="85"/>
    </w:p>
    <w:p>
      <w:pPr>
        <w:ind w:firstLine="640"/>
        <w:rPr>
          <w:rFonts w:hAnsi="Times New Roman" w:cs="Times New Roman"/>
          <w:color w:val="000000" w:themeColor="text1"/>
          <w:szCs w:val="22"/>
        </w:rPr>
      </w:pPr>
      <w:r>
        <w:rPr>
          <w:rFonts w:hint="eastAsia" w:hAnsi="Times New Roman" w:cs="Times New Roman"/>
          <w:color w:val="000000" w:themeColor="text1"/>
          <w:szCs w:val="22"/>
        </w:rPr>
        <w:t>统筹推动能源、水利、供水、排水、燃气、热力等基础设施系统建设运行，建设海绵城市、韧性城市，全面提升城市综合承载能力和抗风险能力。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加强能源基础设施建设。</w:t>
      </w:r>
      <w:r>
        <w:rPr>
          <w:rFonts w:hint="eastAsia" w:hAnsi="Times New Roman" w:cs="Times New Roman"/>
          <w:szCs w:val="22"/>
        </w:rPr>
        <w:t>健全能源保供体系，实施划片集中供热，统筹规划建设无锡西区燃气二期改造提升工程、江阴嘉盛液化天然气调峰储配站工程、常州至宜兴成品油输送管道等重点能源项目。</w:t>
      </w:r>
      <w:r>
        <w:rPr>
          <w:rFonts w:hint="eastAsia" w:hAnsi="Times New Roman" w:cs="Times New Roman"/>
          <w:color w:val="000000" w:themeColor="text1"/>
          <w:szCs w:val="22"/>
        </w:rPr>
        <w:t>优化</w:t>
      </w:r>
      <w:r>
        <w:rPr>
          <w:rFonts w:hint="eastAsia" w:hAnsi="Times New Roman" w:cs="Times New Roman"/>
          <w:szCs w:val="22"/>
        </w:rPr>
        <w:t>城乡</w:t>
      </w:r>
      <w:r>
        <w:rPr>
          <w:rFonts w:hint="eastAsia" w:hAnsi="Times New Roman" w:cs="Times New Roman"/>
          <w:color w:val="000000" w:themeColor="text1"/>
          <w:szCs w:val="22"/>
        </w:rPr>
        <w:t>燃气管网空间布局，完善城市燃气应急储配系统，提高管网覆盖密度。加快特高压和智能电网建设，实施白鹤滩—江苏（无锡段）特高压直流、凤城—梅里长江大跨越等重要输电工程，扩大外电入锡规模。加强信息化监控管理，确保能源基础设施安全运行和客户安全用电用气。到2025年，居民天然气气化率达93%，基本实现“村村通天然气”。</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市政公用设施建设。推进建成区海绵化改造，落实新建项目达到海绵城市建设管理要求，完成省级海绵城市试点区建设。以更高标准统筹雨洪管理和海绵城市建设，加强防洪排涝、防震减灾、人民防空等领域应急避险场所协同建设管理，增强城市灾害防御能力。提高供水设施质量，全面完成居民住宅二次供水泵房改造，确保市区自来水深度处理规模达到245万吨。实施污水处理提质增效行动，</w:t>
      </w:r>
      <w:r>
        <w:rPr>
          <w:rFonts w:hint="eastAsia" w:hAnsi="Times New Roman" w:cs="Times New Roman"/>
          <w:szCs w:val="22"/>
        </w:rPr>
        <w:t>完</w:t>
      </w:r>
      <w:r>
        <w:rPr>
          <w:rFonts w:hint="eastAsia" w:hAnsi="Times New Roman" w:cs="Times New Roman"/>
          <w:color w:val="000000" w:themeColor="text1"/>
          <w:szCs w:val="22"/>
        </w:rPr>
        <w:t>成城北污水厂、太湖新城污水厂扩能工程，新建城北污水二厂。到2025年，城镇生活污水集中收集处理率达到95%以上，市区污水处理规模达到200万吨。加强城市照明设施智慧化建设，提高老旧小区照明质量</w:t>
      </w:r>
      <w:r>
        <w:rPr>
          <w:rFonts w:hint="eastAsia" w:hAnsi="Times New Roman" w:cs="Times New Roman"/>
          <w:szCs w:val="22"/>
        </w:rPr>
        <w:t>。</w:t>
      </w:r>
      <w:r>
        <w:rPr>
          <w:rFonts w:hint="eastAsia" w:hAnsi="Times New Roman" w:cs="Times New Roman"/>
          <w:color w:val="000000" w:themeColor="text1"/>
          <w:szCs w:val="22"/>
        </w:rPr>
        <w:t>加快城市园林绿化建设，推进“显山工程”“疏林工程”，推行立体绿化，新建改建“口袋公园”50座以上，创建国家生态园林城市。</w:t>
      </w:r>
    </w:p>
    <w:p>
      <w:pPr>
        <w:ind w:firstLine="640"/>
        <w:rPr>
          <w:rFonts w:hAnsi="Times New Roman" w:cs="Times New Roman"/>
          <w:szCs w:val="22"/>
        </w:rPr>
      </w:pPr>
      <w:r>
        <w:rPr>
          <w:rFonts w:hint="eastAsia" w:hAnsi="Times New Roman" w:cs="Times New Roman"/>
          <w:color w:val="000000" w:themeColor="text1"/>
          <w:szCs w:val="22"/>
        </w:rPr>
        <w:t>加强水利基础设施建设。积极参与长江、太湖及其重要支流的区域控制性枢纽</w:t>
      </w:r>
      <w:r>
        <w:rPr>
          <w:rFonts w:hint="eastAsia" w:hAnsi="Times New Roman" w:cs="Times New Roman"/>
          <w:szCs w:val="22"/>
        </w:rPr>
        <w:t>工程建设，持续推进</w:t>
      </w:r>
      <w:r>
        <w:rPr>
          <w:rFonts w:hint="eastAsia" w:hAnsi="Times New Roman" w:cs="Times New Roman"/>
          <w:bCs/>
          <w:szCs w:val="32"/>
        </w:rPr>
        <w:t>长江防洪能力提升工程、太湖大堤剩余工程、望虞河拓浚、京杭运河堤</w:t>
      </w:r>
      <w:r>
        <w:rPr>
          <w:rFonts w:hint="eastAsia" w:hAnsi="Times New Roman" w:cs="Times New Roman"/>
          <w:bCs/>
          <w:color w:val="000000" w:themeColor="text1"/>
          <w:szCs w:val="32"/>
        </w:rPr>
        <w:t>防加固、锡澄片骨干河网畅流活水等流域性、区域性骨干工程建设</w:t>
      </w:r>
      <w:r>
        <w:rPr>
          <w:rFonts w:hint="eastAsia" w:hAnsi="Times New Roman" w:cs="Times New Roman"/>
          <w:color w:val="000000" w:themeColor="text1"/>
          <w:szCs w:val="22"/>
        </w:rPr>
        <w:t>，完善城市防洪体系。提升水利信息化水平，</w:t>
      </w:r>
      <w:r>
        <w:rPr>
          <w:rFonts w:hint="eastAsia" w:hAnsi="Times New Roman" w:cs="Times New Roman"/>
          <w:szCs w:val="22"/>
        </w:rPr>
        <w:t>加快“智能水网”平台建设，实现水利信息互联互通、资源共享共用。</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86" w:name="_Toc55236664"/>
      <w:bookmarkStart w:id="87" w:name="_Toc66870200"/>
      <w:r>
        <w:rPr>
          <w:rFonts w:ascii="Times New Roman" w:hAnsi="Times New Roman" w:eastAsia="方正楷体_GBK" w:cs="Times New Roman"/>
          <w:bCs/>
          <w:color w:val="000000" w:themeColor="text1"/>
          <w:szCs w:val="32"/>
        </w:rPr>
        <w:t>第四节  建设新型智慧城市</w:t>
      </w:r>
      <w:bookmarkEnd w:id="86"/>
      <w:bookmarkEnd w:id="87"/>
    </w:p>
    <w:p>
      <w:pPr>
        <w:ind w:firstLine="640"/>
        <w:rPr>
          <w:rFonts w:hAnsi="Times New Roman" w:cs="Times New Roman"/>
          <w:color w:val="000000" w:themeColor="text1"/>
          <w:szCs w:val="22"/>
        </w:rPr>
      </w:pPr>
      <w:r>
        <w:rPr>
          <w:rFonts w:hint="eastAsia" w:hAnsi="Times New Roman" w:cs="Times New Roman"/>
          <w:color w:val="000000" w:themeColor="text1"/>
          <w:szCs w:val="22"/>
        </w:rPr>
        <w:t>充分发挥物联网特色优势，推动信息化和城市化深度融合，促进新一代信息技术在城市建设运营中更广泛应用，打造智慧城市新标杆。</w:t>
      </w:r>
    </w:p>
    <w:p>
      <w:pPr>
        <w:ind w:firstLine="640"/>
        <w:rPr>
          <w:rFonts w:hAnsi="Times New Roman" w:cs="Times New Roman"/>
          <w:color w:val="000000" w:themeColor="text1"/>
          <w:szCs w:val="22"/>
        </w:rPr>
      </w:pPr>
      <w:r>
        <w:rPr>
          <w:rFonts w:hint="eastAsia" w:hAnsi="Times New Roman" w:cs="Times New Roman"/>
          <w:color w:val="000000" w:themeColor="text1"/>
          <w:szCs w:val="22"/>
        </w:rPr>
        <w:t>推进新型基础设施建设。加快构建5G、车联网、人工智能、工业互联网、城市轨道交通、特高压、智能电网、云计算和大数据中心</w:t>
      </w:r>
      <w:r>
        <w:rPr>
          <w:rFonts w:hint="eastAsia" w:hAnsi="Times New Roman" w:cs="Times New Roman"/>
          <w:szCs w:val="22"/>
        </w:rPr>
        <w:t>、智慧充换电桩</w:t>
      </w:r>
      <w:r>
        <w:rPr>
          <w:rFonts w:hint="eastAsia" w:hAnsi="Times New Roman" w:cs="Times New Roman"/>
          <w:color w:val="000000" w:themeColor="text1"/>
          <w:szCs w:val="22"/>
        </w:rPr>
        <w:t>等新型基础设施体系，为经济社会高质量发展拓展新空间。完善信息通信基础设施，持续优化城市光纤宽带网络，提高网络骨干带宽，完成光纤到户改造，实现“万兆到楼、千兆到户”光纤网络接入能力全覆盖。优化窄带物联网（NB-IoT）建设，加快推进网络基础设施、重要应用系统实施IPv6升级改造，实现5G网络全覆盖。推进城市大数据中心建设，加强基础库和专题库建设。推动数据资源综合开发利用，探索建设区域性数据交易中心。</w:t>
      </w:r>
      <w:r>
        <w:rPr>
          <w:rFonts w:hint="eastAsia" w:hAnsi="Times New Roman" w:cs="Times New Roman"/>
          <w:szCs w:val="22"/>
        </w:rPr>
        <w:t>充分利用城市灯杆等挂高资源，布局智能传感器、公共安全监控终端、城市神经元系统等设施，打造智慧多功能合杆</w:t>
      </w:r>
      <w:r>
        <w:rPr>
          <w:rFonts w:hint="eastAsia" w:hAnsi="Times New Roman" w:cs="Times New Roman"/>
          <w:color w:val="000000" w:themeColor="text1"/>
          <w:szCs w:val="22"/>
        </w:rPr>
        <w:t>。</w:t>
      </w:r>
    </w:p>
    <w:p>
      <w:pPr>
        <w:ind w:firstLine="640"/>
        <w:rPr>
          <w:rFonts w:hAnsi="Times New Roman" w:cs="Times New Roman"/>
          <w:color w:val="000000" w:themeColor="text1"/>
          <w:szCs w:val="22"/>
        </w:rPr>
      </w:pPr>
      <w:r>
        <w:rPr>
          <w:rFonts w:hint="eastAsia" w:hAnsi="Times New Roman" w:cs="Times New Roman"/>
          <w:color w:val="000000" w:themeColor="text1"/>
          <w:szCs w:val="22"/>
        </w:rPr>
        <w:t>推进数字城市建设。建立智慧城市运行管理机构，利用数字孪生技术，重点打造城市大数据资源、视频资源共享、时空信息云、人工智能、区块链、城市物联网等功能性平台，构建完整的“智慧城市运行图”。建立健全城市数字管理体制机制，搭建信息共享、应急反应、联勤联动的智慧指挥决策体系，实现实时监测、精准服务和精细化管理。加强新型智慧社区建设与“城市大脑”联动发展，实现城市治理“一网统管”。</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数字化民生服务。推动新一代信息技术与民生服务深度融合，提高公共服务领域智慧化管理服务水平，构建便捷普惠的智慧生活体系。以“灵锡”APP为主体，增强交通、教育、医疗、文化、社保、养老、助残等服务功能，提升市民生活便捷度与智慧化体验感。促进智慧民生消费，加快推进智慧交通、智慧社区、智慧城管等民生应用场景建设。到2025年，基本实现“一码通城”。</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rPr>
      </w:pPr>
      <w:bookmarkStart w:id="88" w:name="_Toc55236663"/>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89" w:name="_Toc66870201"/>
      <w:r>
        <w:rPr>
          <w:rFonts w:ascii="Times New Roman" w:hAnsi="Times New Roman" w:eastAsia="方正黑体_GBK" w:cs="Times New Roman"/>
          <w:bCs/>
          <w:color w:val="000000" w:themeColor="text1"/>
          <w:szCs w:val="32"/>
        </w:rPr>
        <w:t xml:space="preserve">第九章  </w:t>
      </w:r>
      <w:bookmarkEnd w:id="88"/>
      <w:r>
        <w:rPr>
          <w:rFonts w:ascii="Times New Roman" w:hAnsi="Times New Roman" w:eastAsia="方正黑体_GBK" w:cs="Times New Roman"/>
          <w:bCs/>
          <w:color w:val="000000" w:themeColor="text1"/>
          <w:szCs w:val="32"/>
        </w:rPr>
        <w:t>全面推进乡村振兴</w:t>
      </w:r>
      <w:bookmarkEnd w:id="89"/>
    </w:p>
    <w:p>
      <w:pPr>
        <w:ind w:firstLine="640"/>
        <w:rPr>
          <w:rFonts w:hAnsi="Times New Roman" w:cs="Times New Roman"/>
        </w:rPr>
      </w:pPr>
      <w:r>
        <w:rPr>
          <w:rFonts w:hint="eastAsia" w:hAnsi="Times New Roman" w:cs="Times New Roman"/>
        </w:rPr>
        <w:t>坚持把解决好“三农”问题作为重中之重，以更大力度实施乡村振兴战略，强化以工补农、以城带乡，推动农业高质高效、乡村宜居宜业、农民富裕富足，促进城乡全面融合，</w:t>
      </w:r>
      <w:r>
        <w:rPr>
          <w:rFonts w:hint="eastAsia" w:hAnsi="Times New Roman" w:cs="Times New Roman"/>
          <w:color w:val="000000" w:themeColor="text1"/>
        </w:rPr>
        <w:t>确保无锡农业农村现代化建设走在全省前列</w:t>
      </w:r>
      <w:r>
        <w:rPr>
          <w:rFonts w:hint="eastAsia" w:hAnsi="Times New Roman" w:cs="Times New Roman"/>
        </w:rPr>
        <w:t>。</w:t>
      </w:r>
    </w:p>
    <w:p>
      <w:pPr>
        <w:snapToGrid w:val="0"/>
        <w:ind w:firstLine="640"/>
        <w:jc w:val="center"/>
        <w:rPr>
          <w:rFonts w:ascii="Times New Roman" w:hAnsi="Times New Roman" w:eastAsia="方正楷体_GBK" w:cs="Times New Roman"/>
          <w:color w:val="000000" w:themeColor="text1"/>
          <w:szCs w:val="32"/>
        </w:rPr>
      </w:pPr>
    </w:p>
    <w:p>
      <w:pPr>
        <w:pStyle w:val="4"/>
        <w:ind w:firstLine="200"/>
        <w:rPr>
          <w:rFonts w:ascii="Times New Roman" w:hAnsi="Times New Roman" w:cs="Times New Roman"/>
          <w:color w:val="000000" w:themeColor="text1"/>
        </w:rPr>
      </w:pPr>
      <w:bookmarkStart w:id="90" w:name="_Toc66870202"/>
      <w:r>
        <w:rPr>
          <w:rFonts w:ascii="Times New Roman" w:hAnsi="Times New Roman" w:cs="Times New Roman"/>
          <w:color w:val="000000" w:themeColor="text1"/>
        </w:rPr>
        <w:t>第一节  发展现代农业</w:t>
      </w:r>
      <w:bookmarkEnd w:id="90"/>
    </w:p>
    <w:p>
      <w:pPr>
        <w:ind w:firstLine="640"/>
        <w:rPr>
          <w:rFonts w:hAnsi="Times New Roman" w:cs="Times New Roman"/>
          <w:color w:val="000000" w:themeColor="text1"/>
        </w:rPr>
      </w:pPr>
      <w:r>
        <w:rPr>
          <w:rFonts w:hint="eastAsia" w:hAnsi="Times New Roman" w:cs="Times New Roman"/>
          <w:color w:val="000000" w:themeColor="text1"/>
        </w:rPr>
        <w:t>深入推动农业现代化发展，完善农业基础设施，促进农业园区提档升级，加快特色</w:t>
      </w:r>
      <w:r>
        <w:rPr>
          <w:rFonts w:hint="eastAsia" w:hAnsi="Times New Roman" w:cs="Times New Roman"/>
        </w:rPr>
        <w:t>产业</w:t>
      </w:r>
      <w:r>
        <w:rPr>
          <w:rFonts w:hint="eastAsia" w:hAnsi="Times New Roman" w:cs="Times New Roman"/>
          <w:color w:val="000000" w:themeColor="text1"/>
        </w:rPr>
        <w:t>融合发展，提高农业质量与效益。到2025年，全市绿色优质农产品比重达到85%，农业机械化水平达到95%，农业科技进步贡献率达到75%。</w:t>
      </w:r>
    </w:p>
    <w:p>
      <w:pPr>
        <w:ind w:firstLine="640"/>
        <w:rPr>
          <w:rFonts w:hAnsi="Times New Roman" w:cs="Times New Roman"/>
        </w:rPr>
      </w:pPr>
      <w:r>
        <w:rPr>
          <w:rFonts w:hint="eastAsia" w:hAnsi="Times New Roman" w:cs="Times New Roman"/>
        </w:rPr>
        <w:t>强化粮食和重要农产品供给。深入实施藏粮于地、藏粮于技战略，严守耕地红线和永久基本农田控制线，坚持最严格的耕地保护制度，严格落实耕地保护责任目标考核制度，规范耕地占补平衡，遏制耕地“非农化”、防止“非粮化”。强化粮食生产功能区和重要农产品生产保护区管护，加快建设适宜机械作业和信息化管理的高标准农田，加大农业水利设施建设力度，加强永久蔬菜生产基地、生猪生态规模养殖基地、生态化养殖池塘建设，增强粮食高产稳产能力，确保重要农产品稳定供给。强化农业科技支撑，保护提升耕地质量，加强动物防疫和农作物病虫害防治，推进农业机械化</w:t>
      </w:r>
      <w:r>
        <w:rPr>
          <w:rFonts w:hAnsi="Times New Roman" w:cs="Times New Roman"/>
        </w:rPr>
        <w:t>智慧化</w:t>
      </w:r>
      <w:r>
        <w:rPr>
          <w:rFonts w:hint="eastAsia" w:hAnsi="Times New Roman" w:cs="Times New Roman"/>
        </w:rPr>
        <w:t>发展。开展现代种业产业化行动，加强种质资源保护与利用，加大种源技术攻关力度，推动生物育种产业化应用，提高农业良种化水平。</w:t>
      </w:r>
    </w:p>
    <w:p>
      <w:pPr>
        <w:ind w:firstLine="640"/>
        <w:rPr>
          <w:rFonts w:hAnsi="Times New Roman" w:cs="Times New Roman"/>
        </w:rPr>
      </w:pPr>
      <w:r>
        <w:rPr>
          <w:rFonts w:hint="eastAsia" w:hAnsi="Times New Roman" w:cs="Times New Roman"/>
        </w:rPr>
        <w:t>打造现代农业产业园。推进无锡锡山、江阴华西、宜兴杨巷、江阴临港、无锡锡西等5个现代农业产业园建设。提升农业园区能级，增强锡山国家现代农业产业园以及江阴现代农业产业示范园、宜兴现代农业产业示范园综合竞争力，支持惠山、宜兴等地区创建国家现代农业产业园，推进农业科技园、农产品集中加工区、农业创业园建设。持续推进“百企建百园”工程，加大农业招商引资力度，推动农业重大项目建设，鼓励引导工商资本参与现代农业建设。到2025年，建成高标准规模化现代农业产业园5个。</w:t>
      </w:r>
    </w:p>
    <w:p>
      <w:pPr>
        <w:ind w:firstLine="640"/>
        <w:rPr>
          <w:rFonts w:hAnsi="Times New Roman" w:cs="Times New Roman"/>
        </w:rPr>
      </w:pPr>
      <w:r>
        <w:rPr>
          <w:rFonts w:hint="eastAsia" w:hAnsi="Times New Roman" w:cs="Times New Roman"/>
        </w:rPr>
        <w:t>加快发展乡村产业。深入推进农业供给侧结构性改革，推动品种培优、品质提升、品牌打造和标准化生产。坚持质量兴农、绿色兴农、品牌强农，做精做强优质稻米、精细蔬菜、特色果品、名优茶叶、特种水产、花卉园艺等特色主导产业，形成农业特色品牌。推动农业绿色化发展，积极发展生态循环农业，加强绿色优</w:t>
      </w:r>
      <w:r>
        <w:rPr>
          <w:rFonts w:hAnsi="Times New Roman" w:cs="Times New Roman"/>
        </w:rPr>
        <w:t>质</w:t>
      </w:r>
      <w:r>
        <w:rPr>
          <w:rFonts w:hint="eastAsia" w:hAnsi="Times New Roman" w:cs="Times New Roman"/>
        </w:rPr>
        <w:t>农产品基地建设，推进畜禽生态健康养殖，培育绿色食品、有机农产品和地理标志农产品，完善农产品质量安全追溯体系。推动农村一二三产业融合发展，培育壮大乡村产业新业态新模式，促进乡村产业振兴，支持宜兴创建国家农村产业融合示范园。实施农产品加工提升工程，引进先进技术工艺，重点发展主食、茶叶、竹木、果蔬等农产品加工业，实现农产品多元化开发、多层次利用、多环节增值。实施休闲农业精品工程，促进农业与旅游、文化、康养等产业深度融合，培育发</w:t>
      </w:r>
      <w:r>
        <w:rPr>
          <w:rFonts w:hAnsi="Times New Roman" w:cs="Times New Roman"/>
        </w:rPr>
        <w:t>展都市农业，</w:t>
      </w:r>
      <w:r>
        <w:rPr>
          <w:rFonts w:hint="eastAsia" w:hAnsi="Times New Roman" w:cs="Times New Roman"/>
        </w:rPr>
        <w:t>打造休闲农业精品线路和优势集群。实施智慧农业引领工程，加强信息技术在农业生产经营各领域各环节应用，支持农产品电商平台和乡村电商服务站点建设，发展农产品电子商务和农</w:t>
      </w:r>
      <w:r>
        <w:rPr>
          <w:rFonts w:hAnsi="Times New Roman" w:cs="Times New Roman"/>
        </w:rPr>
        <w:t>业</w:t>
      </w:r>
      <w:r>
        <w:rPr>
          <w:rFonts w:hint="eastAsia" w:hAnsi="Times New Roman" w:cs="Times New Roman"/>
        </w:rPr>
        <w:t>生产</w:t>
      </w:r>
      <w:r>
        <w:rPr>
          <w:rFonts w:hAnsi="Times New Roman" w:cs="Times New Roman"/>
        </w:rPr>
        <w:t>性服务业</w:t>
      </w:r>
      <w:r>
        <w:rPr>
          <w:rFonts w:hint="eastAsia" w:hAnsi="Times New Roman" w:cs="Times New Roman"/>
        </w:rPr>
        <w:t>。</w:t>
      </w:r>
    </w:p>
    <w:p>
      <w:pPr>
        <w:ind w:firstLine="640"/>
        <w:rPr>
          <w:rFonts w:hAnsi="Times New Roman" w:cs="Times New Roman"/>
        </w:rPr>
      </w:pPr>
      <w:r>
        <w:rPr>
          <w:rFonts w:hint="eastAsia" w:hAnsi="Times New Roman" w:cs="Times New Roman"/>
        </w:rPr>
        <w:t>培育新型农业经营主体。推动农民合作社、家庭农场、农业产业化龙头企业、农业产业化联合体等新型农业经营主体健康规范有序发展，加快构建以农户家庭经营为基础、合作联合为纽带、市场需求为导向的立体式复合型现代农业经营体系。鼓励农民按照依法自愿有偿原则，推进土地经营权有序规范流转，提高适度规模经营水平。促进各类新型农业经营主体融合发展，培育形成农业产业化联合体。发展农业专</w:t>
      </w:r>
      <w:r>
        <w:rPr>
          <w:rFonts w:hAnsi="Times New Roman" w:cs="Times New Roman"/>
        </w:rPr>
        <w:t>业</w:t>
      </w:r>
      <w:r>
        <w:rPr>
          <w:rFonts w:hint="eastAsia" w:hAnsi="Times New Roman" w:cs="Times New Roman"/>
        </w:rPr>
        <w:t>化服务组织，推进供销合作社改革，提高供销合作社服务能力。到2025年，全市市级以上示范家庭农场达到350家，市级以上农业产业化龙头企业达到200家。</w:t>
      </w:r>
    </w:p>
    <w:p>
      <w:pPr>
        <w:snapToGrid w:val="0"/>
        <w:ind w:firstLine="640"/>
        <w:rPr>
          <w:rFonts w:ascii="Times New Roman" w:hAnsi="Times New Roman" w:cs="Times New Roman"/>
          <w:color w:val="000000" w:themeColor="text1"/>
          <w:szCs w:val="32"/>
        </w:rPr>
      </w:pPr>
    </w:p>
    <w:p>
      <w:pPr>
        <w:pStyle w:val="4"/>
        <w:ind w:firstLine="200"/>
        <w:rPr>
          <w:rFonts w:ascii="Times New Roman" w:hAnsi="Times New Roman" w:cs="Times New Roman"/>
          <w:color w:val="000000" w:themeColor="text1"/>
        </w:rPr>
      </w:pPr>
      <w:bookmarkStart w:id="91" w:name="_Toc66870203"/>
      <w:r>
        <w:rPr>
          <w:rFonts w:ascii="Times New Roman" w:hAnsi="Times New Roman" w:cs="Times New Roman"/>
          <w:color w:val="000000" w:themeColor="text1"/>
        </w:rPr>
        <w:t>第二节  建设美丽田园乡村</w:t>
      </w:r>
      <w:bookmarkEnd w:id="91"/>
    </w:p>
    <w:p>
      <w:pPr>
        <w:ind w:firstLine="640"/>
        <w:rPr>
          <w:rFonts w:hAnsi="Times New Roman" w:cs="Times New Roman"/>
        </w:rPr>
      </w:pPr>
      <w:r>
        <w:rPr>
          <w:rFonts w:hint="eastAsia" w:hAnsi="Times New Roman" w:cs="Times New Roman"/>
        </w:rPr>
        <w:t>大力实施乡村建设行动，统筹乡村规划建设，改善农村人居环境质量，提升农村基础设施品质，打造具有江南吴韵水乡特色的美丽乡村。到2025年，全市建成乡村建设先导区5个、美丽乡村示范带6个，省级特色田园乡村100个、市级特色田园乡村120个，规划保留村庄基本建成美丽宜居乡村。</w:t>
      </w:r>
    </w:p>
    <w:p>
      <w:pPr>
        <w:ind w:firstLine="640"/>
        <w:rPr>
          <w:rFonts w:hAnsi="Times New Roman" w:cs="Times New Roman"/>
          <w:color w:val="000000" w:themeColor="text1"/>
        </w:rPr>
      </w:pPr>
      <w:r>
        <w:rPr>
          <w:rFonts w:hint="eastAsia" w:hAnsi="Times New Roman" w:cs="Times New Roman"/>
          <w:color w:val="000000" w:themeColor="text1"/>
        </w:rPr>
        <w:t>完善乡村规划空间布局。统筹全市城镇和村庄规划建设，按照集聚提升类、特色保护类、城郊融合类、搬迁撤并类、其他一般类等不同对象，分类优化镇村空间布局、功能设计和建设定位，编制实施农业农村空间布局和乡村建设总体规划。推动规划保留村庄农房建设，引导适度集中居住，全面改善农村居民居住条件，打造高品质“新江南人家”。</w:t>
      </w:r>
      <w:r>
        <w:rPr>
          <w:rFonts w:hint="eastAsia" w:hAnsi="Times New Roman" w:cs="Times New Roman"/>
        </w:rPr>
        <w:t>深化特色田园乡村建设，加强传</w:t>
      </w:r>
      <w:r>
        <w:rPr>
          <w:rFonts w:hint="eastAsia" w:hAnsi="Times New Roman" w:cs="Times New Roman"/>
          <w:color w:val="000000" w:themeColor="text1"/>
        </w:rPr>
        <w:t>统村落保护，重点</w:t>
      </w:r>
      <w:r>
        <w:rPr>
          <w:rFonts w:hint="eastAsia" w:hAnsi="Times New Roman" w:cs="Times New Roman"/>
        </w:rPr>
        <w:t>打造江阴澄南、江阴临港、宜兴宜南、无锡宜滨、无锡锡新、无锡锡西等6</w:t>
      </w:r>
      <w:r>
        <w:rPr>
          <w:rFonts w:hint="eastAsia" w:hAnsi="Times New Roman" w:cs="Times New Roman"/>
          <w:color w:val="000000" w:themeColor="text1"/>
        </w:rPr>
        <w:t>条美丽乡村示范带，实现全市美丽乡村连片成带。</w:t>
      </w:r>
    </w:p>
    <w:p>
      <w:pPr>
        <w:ind w:firstLine="640"/>
        <w:rPr>
          <w:rFonts w:hAnsi="Times New Roman" w:cs="Times New Roman"/>
          <w:color w:val="000000" w:themeColor="text1"/>
        </w:rPr>
      </w:pPr>
      <w:r>
        <w:rPr>
          <w:rFonts w:hint="eastAsia" w:hAnsi="Times New Roman" w:cs="Times New Roman"/>
          <w:color w:val="000000" w:themeColor="text1"/>
        </w:rPr>
        <w:t>加强农村人居环境整治。纵深推进农村人居环境“一推三治五化”专项行动，全面改善村容村貌、宅容宅貌、塘容塘貌，持续净化绿化美化村庄环境。引导农村生活垃圾就地分类和资源化利用，完善农村生活垃圾收运处置体系。开展农村生活污水治理提质增效行动，推动农村厕所粪污处理和农村生活污水治理无缝衔接，推广农村生活污水设施第</w:t>
      </w:r>
      <w:r>
        <w:rPr>
          <w:rFonts w:hint="eastAsia" w:hAnsi="Times New Roman" w:cs="Times New Roman"/>
        </w:rPr>
        <w:t>三方运行管理。开展农村生态河道综合整治，全面消除农村黑臭水体。</w:t>
      </w:r>
      <w:r>
        <w:rPr>
          <w:rFonts w:hint="eastAsia" w:hAnsi="Times New Roman" w:cs="Times New Roman"/>
          <w:color w:val="000000" w:themeColor="text1"/>
        </w:rPr>
        <w:t>健全完善农村人居环境整治长效管护机制，全面推进农村河道、道路交通、绿化美化、环境保洁、公共设施“五位一体”综合管护，实现长效管护综合评价合格村市域全覆盖。</w:t>
      </w:r>
    </w:p>
    <w:p>
      <w:pPr>
        <w:ind w:firstLine="640"/>
        <w:rPr>
          <w:rFonts w:hAnsi="Times New Roman" w:cs="Times New Roman"/>
          <w:color w:val="000000" w:themeColor="text1"/>
        </w:rPr>
      </w:pPr>
      <w:r>
        <w:rPr>
          <w:rFonts w:hint="eastAsia" w:hAnsi="Times New Roman" w:cs="Times New Roman"/>
          <w:color w:val="000000" w:themeColor="text1"/>
        </w:rPr>
        <w:t>推进农村基础设施升级。完善乡村水、电、路、气、通信、广电、物流等基础设施，实现农村公共基础设施与城区同步规划、同步建设。持续抓好“四好农村路”建设，健全乡村物流基础设施和配送网络体系，</w:t>
      </w:r>
      <w:r>
        <w:rPr>
          <w:rFonts w:hAnsi="Times New Roman" w:cs="Times New Roman"/>
          <w:color w:val="000000" w:themeColor="text1"/>
        </w:rPr>
        <w:t>发展全域公交，</w:t>
      </w:r>
      <w:r>
        <w:rPr>
          <w:rFonts w:hint="eastAsia" w:hAnsi="Times New Roman" w:cs="Times New Roman"/>
          <w:color w:val="000000" w:themeColor="text1"/>
        </w:rPr>
        <w:t>促</w:t>
      </w:r>
      <w:r>
        <w:rPr>
          <w:rFonts w:hAnsi="Times New Roman" w:cs="Times New Roman"/>
          <w:color w:val="000000" w:themeColor="text1"/>
        </w:rPr>
        <w:t>进</w:t>
      </w:r>
      <w:r>
        <w:rPr>
          <w:rFonts w:hint="eastAsia" w:hAnsi="Times New Roman" w:cs="Times New Roman"/>
          <w:color w:val="000000" w:themeColor="text1"/>
        </w:rPr>
        <w:t>城</w:t>
      </w:r>
      <w:r>
        <w:rPr>
          <w:rFonts w:hAnsi="Times New Roman" w:cs="Times New Roman"/>
          <w:color w:val="000000" w:themeColor="text1"/>
        </w:rPr>
        <w:t>乡客运一</w:t>
      </w:r>
      <w:r>
        <w:rPr>
          <w:rFonts w:hint="eastAsia" w:hAnsi="Times New Roman" w:cs="Times New Roman"/>
          <w:color w:val="000000" w:themeColor="text1"/>
        </w:rPr>
        <w:t>体</w:t>
      </w:r>
      <w:r>
        <w:rPr>
          <w:rFonts w:hAnsi="Times New Roman" w:cs="Times New Roman"/>
          <w:color w:val="000000" w:themeColor="text1"/>
        </w:rPr>
        <w:t>化</w:t>
      </w:r>
      <w:r>
        <w:rPr>
          <w:rFonts w:hint="eastAsia" w:hAnsi="Times New Roman" w:cs="Times New Roman"/>
          <w:color w:val="000000" w:themeColor="text1"/>
        </w:rPr>
        <w:t>，</w:t>
      </w:r>
      <w:r>
        <w:rPr>
          <w:rFonts w:hAnsi="Times New Roman" w:cs="Times New Roman"/>
          <w:color w:val="000000" w:themeColor="text1"/>
        </w:rPr>
        <w:t>完善</w:t>
      </w:r>
      <w:r>
        <w:rPr>
          <w:rFonts w:hint="eastAsia" w:hAnsi="Times New Roman" w:cs="Times New Roman"/>
          <w:color w:val="000000" w:themeColor="text1"/>
        </w:rPr>
        <w:t>毗</w:t>
      </w:r>
      <w:r>
        <w:rPr>
          <w:rFonts w:hAnsi="Times New Roman" w:cs="Times New Roman"/>
          <w:color w:val="000000" w:themeColor="text1"/>
        </w:rPr>
        <w:t>邻公交</w:t>
      </w:r>
      <w:r>
        <w:rPr>
          <w:rFonts w:hint="eastAsia" w:hAnsi="Times New Roman" w:cs="Times New Roman"/>
          <w:color w:val="000000" w:themeColor="text1"/>
        </w:rPr>
        <w:t>系统</w:t>
      </w:r>
      <w:r>
        <w:rPr>
          <w:rFonts w:hAnsi="Times New Roman" w:cs="Times New Roman"/>
          <w:color w:val="000000" w:themeColor="text1"/>
        </w:rPr>
        <w:t>，</w:t>
      </w:r>
      <w:r>
        <w:rPr>
          <w:rFonts w:hint="eastAsia" w:hAnsi="Times New Roman" w:cs="Times New Roman"/>
          <w:color w:val="000000" w:themeColor="text1"/>
        </w:rPr>
        <w:t>确保行政村公交线路全覆盖。统筹保障城乡水资源供应，加快城乡电力均等化进程，提高农村供水供电水平。实施“光网乡村”工程，提升农村宽带接入水平。</w:t>
      </w:r>
    </w:p>
    <w:p>
      <w:pPr>
        <w:snapToGrid w:val="0"/>
        <w:spacing w:line="580" w:lineRule="exact"/>
        <w:ind w:firstLine="640"/>
        <w:rPr>
          <w:rFonts w:ascii="Times New Roman" w:hAnsi="Times New Roman" w:cs="Times New Roman"/>
          <w:snapToGrid w:val="0"/>
          <w:color w:val="000000" w:themeColor="text1"/>
          <w:kern w:val="0"/>
          <w:szCs w:val="32"/>
        </w:rPr>
      </w:pPr>
    </w:p>
    <w:p>
      <w:pPr>
        <w:pStyle w:val="4"/>
        <w:rPr>
          <w:rFonts w:ascii="Times New Roman" w:hAnsi="Times New Roman" w:cs="Times New Roman"/>
          <w:color w:val="000000" w:themeColor="text1"/>
        </w:rPr>
      </w:pPr>
      <w:bookmarkStart w:id="92" w:name="_Toc66870204"/>
      <w:r>
        <w:rPr>
          <w:rFonts w:ascii="Times New Roman" w:hAnsi="Times New Roman" w:cs="Times New Roman"/>
          <w:color w:val="000000" w:themeColor="text1"/>
        </w:rPr>
        <w:t>第三节  深化农村改革</w:t>
      </w:r>
      <w:bookmarkEnd w:id="92"/>
    </w:p>
    <w:p>
      <w:pPr>
        <w:ind w:firstLine="640"/>
        <w:rPr>
          <w:rFonts w:hAnsi="Times New Roman" w:cs="Times New Roman"/>
          <w:color w:val="000000" w:themeColor="text1"/>
        </w:rPr>
      </w:pPr>
      <w:r>
        <w:rPr>
          <w:rFonts w:hint="eastAsia" w:hAnsi="Times New Roman" w:cs="Times New Roman"/>
          <w:color w:val="000000" w:themeColor="text1"/>
        </w:rPr>
        <w:t>聚焦农村土地、产权、资金等资源要素改革，提高农村发展的支撑能力水平，增强农业农村发展内生活力。</w:t>
      </w:r>
    </w:p>
    <w:p>
      <w:pPr>
        <w:ind w:firstLine="640"/>
        <w:rPr>
          <w:rFonts w:hAnsi="Times New Roman" w:cs="Times New Roman"/>
          <w:color w:val="000000" w:themeColor="text1"/>
        </w:rPr>
      </w:pPr>
      <w:r>
        <w:rPr>
          <w:rFonts w:hint="eastAsia" w:hAnsi="Times New Roman" w:cs="Times New Roman"/>
          <w:color w:val="000000" w:themeColor="text1"/>
        </w:rPr>
        <w:t>深化农村土地制度改革。落实第二轮土地承包到期后再延长三十年政策。稳慎推进宅基地“三权分置”改革，鼓励盘活农村闲置宅基地和闲置农房，探索宅基地所有权、资格权、使用权分置实现形式，创新实施和完善农村土地流转履约保证保险制度。依法依规实施农村集体经营性建设用地入市制度，健全城乡统一的建设用地市场，建立土地转让交易信息平台，加快推动土地要素市场化配置，推进惠山区省级闲置农房盘活利用改革试点，适时在全市范围内推广。保障进城落户农民土地承包权、宅基地使用权、集体收益分配权，鼓励依法自愿有偿转让。加大农业农村发展用地支持保障力度，乡村振兴新增建设用地计划配给率不低于5%，保障农村宅基地、基础设施、公共服务和农村一二三产融合发展等建设用地需求。</w:t>
      </w:r>
    </w:p>
    <w:p>
      <w:pPr>
        <w:ind w:firstLine="640"/>
        <w:rPr>
          <w:rFonts w:hAnsi="Times New Roman" w:cs="Times New Roman"/>
          <w:bCs/>
          <w:strike/>
          <w:color w:val="000000" w:themeColor="text1"/>
          <w:szCs w:val="22"/>
        </w:rPr>
      </w:pPr>
      <w:r>
        <w:rPr>
          <w:rFonts w:hint="eastAsia" w:hAnsi="Times New Roman" w:cs="Times New Roman"/>
          <w:color w:val="000000" w:themeColor="text1"/>
        </w:rPr>
        <w:t>深化农村集体产权制度改革。探索股权赋能改革，完善股份合作社“三会”运行机制，实</w:t>
      </w:r>
      <w:r>
        <w:rPr>
          <w:rFonts w:hint="eastAsia" w:hAnsi="Times New Roman" w:cs="Times New Roman"/>
        </w:rPr>
        <w:t>施</w:t>
      </w:r>
      <w:r>
        <w:rPr>
          <w:rFonts w:hint="eastAsia" w:hAnsi="Times New Roman" w:cs="Times New Roman"/>
          <w:color w:val="000000" w:themeColor="text1"/>
        </w:rPr>
        <w:t>经营性资产股份合作制改革，规范集体资产利益分配制度，推行农村集体经济组织与村（居）委会政经分离。实施村级集体经济“千万”计划，深入开展“村企共发展、同奔现代化”行动，因地制宜探索农村集体经济发展新模式，增加农民财产性收入，让广大农民分享改革发展成果。</w:t>
      </w:r>
    </w:p>
    <w:p>
      <w:pPr>
        <w:ind w:firstLine="640"/>
        <w:rPr>
          <w:rFonts w:hAnsi="Times New Roman" w:cs="Times New Roman"/>
          <w:color w:val="000000" w:themeColor="text1"/>
        </w:rPr>
      </w:pPr>
      <w:r>
        <w:rPr>
          <w:rFonts w:hint="eastAsia" w:hAnsi="Times New Roman" w:cs="Times New Roman"/>
          <w:color w:val="000000" w:themeColor="text1"/>
        </w:rPr>
        <w:t>推进农村金融服务制度创新。健全农村金融服务体系，支持开发性政策性金融机构加强中长期信贷投放，鼓励农村中小银行机构将新增可贷资金主要用于服务当地发展。完善信贷、抵押、担保、保险、信用等涉农金融政策制度体系，重点扩大农业融资担保和“惠农贷”等涉农金融业务范围和规模，满足农业经营主体多元化融资需求。优化市级乡村发展振兴投资基金运作机制，重点支持培育优质重大项目、大型龙头企业。鼓励依法合规开发商业性保险产品，有效扩大农业保险覆盖面，提升农业保险深度，提高农业保险密度。</w:t>
      </w:r>
    </w:p>
    <w:p>
      <w:pPr>
        <w:snapToGrid w:val="0"/>
        <w:spacing w:line="580" w:lineRule="exact"/>
        <w:ind w:firstLine="640"/>
        <w:rPr>
          <w:rFonts w:ascii="Times New Roman" w:hAnsi="Times New Roman" w:cs="Times New Roman"/>
          <w:color w:val="000000" w:themeColor="text1"/>
        </w:rPr>
      </w:pPr>
    </w:p>
    <w:p>
      <w:pPr>
        <w:pStyle w:val="4"/>
        <w:rPr>
          <w:rFonts w:ascii="Times New Roman" w:hAnsi="Times New Roman" w:cs="Times New Roman"/>
          <w:color w:val="000000" w:themeColor="text1"/>
        </w:rPr>
      </w:pPr>
      <w:bookmarkStart w:id="93" w:name="_Toc66870205"/>
      <w:r>
        <w:rPr>
          <w:rFonts w:ascii="Times New Roman" w:hAnsi="Times New Roman" w:cs="Times New Roman"/>
          <w:color w:val="000000" w:themeColor="text1"/>
        </w:rPr>
        <w:t>第四节  促进城乡融合</w:t>
      </w:r>
      <w:bookmarkEnd w:id="93"/>
    </w:p>
    <w:p>
      <w:pPr>
        <w:ind w:firstLine="640"/>
        <w:rPr>
          <w:rFonts w:hAnsi="Times New Roman" w:cs="Times New Roman"/>
          <w:color w:val="000000" w:themeColor="text1"/>
        </w:rPr>
      </w:pPr>
      <w:r>
        <w:rPr>
          <w:rFonts w:hint="eastAsia" w:hAnsi="Times New Roman" w:cs="Times New Roman"/>
          <w:color w:val="000000" w:themeColor="text1"/>
        </w:rPr>
        <w:t>以实现城乡居民基本权益平等化、城乡公共服务均等化、城乡居民收入均衡化、城乡要素配置市场化、城乡产业发展融合化为目标，推动城乡要素平等交换、双向流动。</w:t>
      </w:r>
    </w:p>
    <w:p>
      <w:pPr>
        <w:ind w:firstLine="640"/>
        <w:rPr>
          <w:rFonts w:hAnsi="Times New Roman" w:cs="Times New Roman"/>
          <w:color w:val="000000" w:themeColor="text1"/>
        </w:rPr>
      </w:pPr>
      <w:r>
        <w:rPr>
          <w:rFonts w:hint="eastAsia" w:hAnsi="Times New Roman" w:cs="Times New Roman"/>
          <w:color w:val="000000" w:themeColor="text1"/>
        </w:rPr>
        <w:t>健全城乡深度融合体制机制。落实城乡融合发展政策措施，健全城市优质资源要素下乡长效促进机制，探索建立工商资本下乡负面清单制度，支持各类企业和社会组织在农村兴办各类事业。建立健全有利于农业科技人员下乡、农业科技成果转化、先进农业技术推广的激励和利益分享机制，吸引各类人才返乡入乡创业，提高农民科技文化素质。高质量开展宜兴宁锡常接合片区国家城乡融合发展试验区改革试点，在集体经营性建设用地入市、科技成果入乡转化、城乡产业协同发展、生态产品价值实现、农民持续增收等方面形成一批可复制可推广的试点经验和改革措施。规划建设江阴澄南、宜兴宜南、无锡宜滨、无锡锡新、无锡锡西等5个城乡融合先导区，畅通城乡经济循环，</w:t>
      </w:r>
      <w:r>
        <w:rPr>
          <w:rFonts w:hAnsi="Times New Roman" w:cs="Times New Roman"/>
          <w:color w:val="000000" w:themeColor="text1"/>
        </w:rPr>
        <w:t>增</w:t>
      </w:r>
      <w:r>
        <w:rPr>
          <w:rFonts w:hint="eastAsia" w:hAnsi="Times New Roman" w:cs="Times New Roman"/>
          <w:color w:val="000000" w:themeColor="text1"/>
        </w:rPr>
        <w:t>强小城镇综合服务能力。建立健全城乡融合发展协同推进机制，加强统筹协调和跟踪督导。</w:t>
      </w:r>
    </w:p>
    <w:p>
      <w:pPr>
        <w:ind w:firstLine="640"/>
        <w:rPr>
          <w:rFonts w:hAnsi="Times New Roman" w:cs="Times New Roman"/>
          <w:color w:val="000000" w:themeColor="text1"/>
          <w:szCs w:val="22"/>
        </w:rPr>
      </w:pPr>
      <w:r>
        <w:rPr>
          <w:rFonts w:hint="eastAsia" w:hAnsi="Times New Roman" w:cs="Times New Roman"/>
          <w:color w:val="000000" w:themeColor="text1"/>
        </w:rPr>
        <w:t>加大政策支持保障力度。坚持农业农村优先，强化财政资金统筹使用，推动财政资金向“三农”重点任务倾斜、向补齐农村短板倾斜、向镇村基层一线倾斜。调整土地出让收益城乡分配格局，稳步提高土地出让收入用于农业农村比例。加大农村基础设施建设管护投入力度，完善乡村基础设施分级分类投入建设机制，推动城乡道路、河湖治理工程等公益性设施管护运行投入纳入财政预算，支持有条件的地方将城乡基础设施一体化开发建设，建立乡村基础设施产权所有者管护制度。</w:t>
      </w:r>
      <w:r>
        <w:rPr>
          <w:rFonts w:hint="eastAsia"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94" w:name="_Toc55236646"/>
      <w:bookmarkStart w:id="95" w:name="_Toc54457741"/>
      <w:bookmarkStart w:id="96" w:name="_Toc66870206"/>
      <w:bookmarkStart w:id="97" w:name="_Toc54815014"/>
      <w:r>
        <w:rPr>
          <w:rFonts w:ascii="Times New Roman" w:hAnsi="Times New Roman" w:eastAsia="方正黑体_GBK" w:cs="Times New Roman"/>
          <w:bCs/>
          <w:color w:val="000000" w:themeColor="text1"/>
          <w:szCs w:val="32"/>
        </w:rPr>
        <w:t>第十章  深化经济领域改革</w:t>
      </w:r>
      <w:bookmarkEnd w:id="94"/>
      <w:bookmarkEnd w:id="95"/>
      <w:bookmarkEnd w:id="96"/>
      <w:bookmarkEnd w:id="97"/>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充分发挥经济体制改革的牵引作用，加快破除深层次体制机制障碍，推动有效市场和有为政府更好结合，促进各类要素资源高效流动、高效配置、高效增值，为高质量发展注入更多动力和提供制度保障。</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98" w:name="_Toc66870207"/>
      <w:bookmarkStart w:id="99" w:name="_Toc55236647"/>
      <w:bookmarkStart w:id="100" w:name="_Toc54457744"/>
      <w:bookmarkStart w:id="101" w:name="_Toc54815017"/>
      <w:r>
        <w:rPr>
          <w:rFonts w:ascii="Times New Roman" w:hAnsi="Times New Roman" w:eastAsia="方正楷体_GBK" w:cs="Times New Roman"/>
          <w:bCs/>
          <w:color w:val="000000" w:themeColor="text1"/>
          <w:szCs w:val="32"/>
        </w:rPr>
        <w:t>第一节  增强市场主体发展活力</w:t>
      </w:r>
      <w:bookmarkEnd w:id="98"/>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毫不动摇巩固和发展公有制经济，毫不动摇鼓励、支持、引导非公有制经济发展，探索公有制多种实现形式，支持民营企业改革发展，培育更多充满活力的市场主体。</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深化国资国企改革。推动国有资本布局优化、结构调整，推进国有企业战略性重组、专业化整合，促进国有资本向战略性新兴产业、先进制造业、现代服务业、城市基础设施和公共服务等领域集聚。积极引入战略投资者和社会资本，实施国有企业混合所有制改革，加大股份制改革力度，支持国有企业股改上市。健全现代企业制度，完善公司法人治理结构，加强董事会建设，落实董事会职权，推行国有企业经理层任期制和契约化管理，深化国有企业劳动、人事、分配三项制度改革，统筹运用中长期激励政策，增强国有企业发展活力。以管资本为主转变国有资产监管职能，有效发挥国有资本投资、运营公司功能作用，推进智慧国资在线监管平台建设，形成协同高效的监管体制。到2025年，国有企业资产总额力争突破万亿元，国有资产证券化率实现翻一番。</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推动非公经济发展。坚决破除制约市场竞争的各类障碍和隐形壁垒，在要素获取、准入许可、经营运行、政府采购、招标投标等方面平等对待民营企业、中小微企业、个体工商户、外商投资企业，营造各种所有制主体依法平等使用资源要素、公开公平公正参与竞争、同等受到法律保护的市场环境。组织开展民营经济领域产业集群创新提升行动，完善民营企业融资征信增额支持体系，加快培育一批旗舰型企业、“小巨人”企业、专精特新企业和高成长型企业。健全促进中小微企业和个体工商户发展的制度体系，落实更多领域允许外商经营政策措施。</w:t>
      </w:r>
      <w:r>
        <w:rPr>
          <w:rFonts w:hint="eastAsia" w:hAnsi="Times New Roman" w:cs="Times New Roman"/>
          <w:color w:val="000000" w:themeColor="text1"/>
          <w:szCs w:val="22"/>
        </w:rPr>
        <w:t>完善新型亲清政商关系，建立规范化机制化政企沟通渠道。</w:t>
      </w:r>
    </w:p>
    <w:p>
      <w:pPr>
        <w:ind w:firstLine="640"/>
        <w:rPr>
          <w:rFonts w:hAnsi="Times New Roman" w:cs="Times New Roman"/>
          <w:color w:val="000000" w:themeColor="text1"/>
          <w:szCs w:val="22"/>
        </w:rPr>
      </w:pPr>
      <w:r>
        <w:rPr>
          <w:rFonts w:hint="eastAsia" w:hAnsi="Times New Roman" w:cs="Times New Roman"/>
          <w:color w:val="000000" w:themeColor="text1"/>
          <w:szCs w:val="22"/>
        </w:rPr>
        <w:t>打造优质企业家队伍。弘扬新时期“锡商”精神，加快培育新一批“锡商”领军人才，完善企业家政策服务体系，培养一批政治上有方向、发展上有本事、创新上有思路、具有国际视野的现代企业家。实施青年企业家基业长青“百千万工程”、新生代企业家“新动力”计划，开展企业家国际化素质能力提升工程。整合全市企业家培育培训资源，深化与中外知名商学院、经济学院等高校战略合作，构建适应企业家多样性需求的优质培育平台。发挥“无锡企业家日”作用，搭建企业家交流合作平台，开展企业家进校园常态化活动，营造校企共进的良好氛围。</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02" w:name="_Toc66870208"/>
      <w:r>
        <w:rPr>
          <w:rFonts w:ascii="Times New Roman" w:hAnsi="Times New Roman" w:eastAsia="方正楷体_GBK" w:cs="Times New Roman"/>
          <w:bCs/>
          <w:color w:val="000000" w:themeColor="text1"/>
          <w:szCs w:val="32"/>
        </w:rPr>
        <w:t>第二节  建设高标准市场体系</w:t>
      </w:r>
      <w:bookmarkEnd w:id="102"/>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实施高标准市场体系建设行动，健全市场体系基础制度，深化要素市场化配置改革，形成生产要素从低质低效领域向优质高效领域流动的机制，营造平等准入、高效规范、公平竞争的市场环境。</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加快建设要素市场。健全统一开放的要素市场体系，破除阻碍要素自由流动的体制机制障碍，扩大要素市场化配置范围，推动要素配置实现效益最大化和效率最优化。建立健全城乡统一的建设用地市场，完善集体经营性建设用地入市增值收益分配制度，保障被征地农民合法土地权益。推进工业用地供应方式改革，探索不同产业用地类型合理转换，增加混合产业用地供给。推进人力资源市场整合优化，引进培育人力资源服务品牌机构，畅通人力资源社会性流动渠道。完善机关企事业单位人才交流机制，畅通人才跨所有制流动渠道。培育数据要素市场，落实数据隐私保护制度和安全共享机制，推进政府公共数据有序开放，挖掘社会数据资源价值，开展公共数据与社会数据融合试点，培育发展数据要素产业。完善要素市场运行和监管规则，促进商品和服务市场提质增效。</w:t>
      </w:r>
    </w:p>
    <w:p>
      <w:pPr>
        <w:ind w:firstLine="640"/>
        <w:rPr>
          <w:rFonts w:hAnsi="Times New Roman" w:cs="Times New Roman"/>
          <w:bCs/>
          <w:szCs w:val="22"/>
        </w:rPr>
      </w:pPr>
      <w:r>
        <w:rPr>
          <w:rFonts w:hint="eastAsia" w:hAnsi="Times New Roman" w:cs="Times New Roman"/>
          <w:bCs/>
          <w:color w:val="000000" w:themeColor="text1"/>
          <w:szCs w:val="22"/>
        </w:rPr>
        <w:t>完善现代产权制度。健全以公平为核心的产权保护制度，全面依法平等保护各种所有制经济产权和合法权益，依法严肃查处各类侵害民营企业合法权益的行为。实施自然资源要素链改革，</w:t>
      </w:r>
      <w:r>
        <w:rPr>
          <w:rFonts w:hint="eastAsia" w:hAnsi="Times New Roman" w:cs="Times New Roman"/>
          <w:color w:val="000000" w:themeColor="text1"/>
          <w:szCs w:val="22"/>
        </w:rPr>
        <w:t>完善自然资源资产产权制度体系，</w:t>
      </w:r>
      <w:r>
        <w:rPr>
          <w:rFonts w:hint="eastAsia" w:hAnsi="Times New Roman" w:cs="Times New Roman"/>
          <w:bCs/>
          <w:szCs w:val="22"/>
        </w:rPr>
        <w:t>探索编制自然资源资产负债表，开展领导干部自然资源资产离任审计。</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健全市场决定价格机制。推动政府定价机制由制定具体价格向制定定价规则转变，最大限度减少政府对价格形成的不当干预，扩大市场主体依法合理行使要素定价权限。推动政府指导与市场调节相结合，以特许经营等方式构建供水、污水、供气、公共交通等公共服务领域价格调整协调机制，规范收费标准制定。全力做好重点民生商品保供稳价，健全应急价格调控机制。</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保障市场公平竞争。全面实施市场准入负面清单制度，推动“非禁即入”普遍落实。强化竞争政策的基础地位，加大对垄断线索的搜集排查力度，加强反不正当竞争执法司法，严厉打击不正当竞争行为。落实公平竞争审查制度，建立健全第三方审查和评估机制。弘扬公平竞争文化，鼓励行业组织建立健全行业自律公约和职业道德准则。</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03" w:name="_Toc66870209"/>
      <w:r>
        <w:rPr>
          <w:rFonts w:ascii="Times New Roman" w:hAnsi="Times New Roman" w:eastAsia="方正楷体_GBK" w:cs="Times New Roman"/>
          <w:bCs/>
          <w:color w:val="000000" w:themeColor="text1"/>
          <w:szCs w:val="32"/>
        </w:rPr>
        <w:t>第三节  深化财税投融资体制改革</w:t>
      </w:r>
      <w:bookmarkEnd w:id="103"/>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加强财政资源统筹，落实税收征管制度改革，推动金融有效支持实体经济发展，形成融资渠道畅通、融资方式多元、职能转变到位、政府行为规范的新型财税投融资体制。</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深化财税体制改革。建立权责清晰、财力协调、区域均衡的财政体制，完善事权与支出责任相匹配的市以下财政体制。健全财政预算制度，实行全口径预算管理，推动预算绩效管理关口从事后评价向事前和事中拓展。优化财政支持经济发展政策，挖掘公共资源资金资产功能作用，建立健全稳定可持续的财税收入增长机制。调整优化财政支出结构，聚焦民生事业等重点领域，</w:t>
      </w:r>
      <w:r>
        <w:rPr>
          <w:rFonts w:hint="eastAsia" w:hAnsi="Times New Roman" w:cs="Times New Roman"/>
          <w:bCs/>
          <w:szCs w:val="22"/>
        </w:rPr>
        <w:t>实行</w:t>
      </w:r>
      <w:r>
        <w:rPr>
          <w:rFonts w:hint="eastAsia" w:hAnsi="Times New Roman" w:cs="Times New Roman"/>
          <w:bCs/>
          <w:color w:val="000000" w:themeColor="text1"/>
          <w:szCs w:val="22"/>
        </w:rPr>
        <w:t>以基本公共服务均等化为导向的财政投入保障机制。加强政府债务管理，合理控降政府性债务规模。完善税收社会共治体系调整方案，推进便民纳税服务网络化社会化建设。</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推动金融服务实体经济发展。发挥好</w:t>
      </w:r>
      <w:r>
        <w:rPr>
          <w:rFonts w:hint="eastAsia" w:hAnsi="Times New Roman" w:cs="Times New Roman"/>
          <w:color w:val="000000" w:themeColor="text1"/>
          <w:szCs w:val="32"/>
        </w:rPr>
        <w:t>市中小微企业信保基金</w:t>
      </w:r>
      <w:r>
        <w:rPr>
          <w:rFonts w:hint="eastAsia" w:hAnsi="Times New Roman" w:cs="Times New Roman"/>
          <w:bCs/>
          <w:color w:val="000000" w:themeColor="text1"/>
          <w:szCs w:val="22"/>
        </w:rPr>
        <w:t>、政府性融资担保机构、无锡综合金融服务平台作用，提高金融科技水平，降低实体企业特别是民营企业和小微企业融资成本。加快征信平台建设和</w:t>
      </w:r>
      <w:r>
        <w:rPr>
          <w:rFonts w:hint="eastAsia" w:hAnsi="Times New Roman" w:cs="Times New Roman"/>
          <w:bCs/>
          <w:szCs w:val="22"/>
        </w:rPr>
        <w:t>推广</w:t>
      </w:r>
      <w:r>
        <w:rPr>
          <w:rFonts w:hint="eastAsia" w:hAnsi="Times New Roman" w:cs="Times New Roman"/>
          <w:bCs/>
          <w:color w:val="000000" w:themeColor="text1"/>
          <w:szCs w:val="22"/>
        </w:rPr>
        <w:t>运用，提高小微企业首贷成功率。引导发展非银行金融机构，规范发展地方法人金融企业，支持发展锡商银行等民营银行，推动组建金融控股公司，发起设立金融租赁公司、消费金融公司等新型金融机构，促进在锡金融机构升格，引进优质外资金</w:t>
      </w:r>
      <w:r>
        <w:rPr>
          <w:rFonts w:hint="eastAsia" w:hAnsi="Times New Roman" w:cs="Times New Roman"/>
          <w:bCs/>
          <w:szCs w:val="22"/>
        </w:rPr>
        <w:t>融机构。积极争取合格境外有限合伙人试点，支持宜兴创建国家绿色金融创新改革试验区。</w:t>
      </w:r>
      <w:r>
        <w:rPr>
          <w:rFonts w:hint="eastAsia" w:hAnsi="Times New Roman" w:cs="Times New Roman"/>
          <w:bCs/>
          <w:color w:val="000000" w:themeColor="text1"/>
          <w:szCs w:val="22"/>
        </w:rPr>
        <w:t>支持企业通过资本市场进行债权和股权融资，完善上市挂牌服务机制，推动优质企业上市，支持上市公司再融资及并购重组，持续壮大资本市场“无锡板块”，争创全省上市公司高质量发展示范区。到2025年，新增上市公司60家以上，亿元地区生产总值企业股权融资额达到500万元。</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深化投融资体制改革。深入实施投资审批制度改革，加强政府投资统筹管理，落实政府投资范围动态调整机制，优化投资方向和结构，</w:t>
      </w:r>
      <w:r>
        <w:rPr>
          <w:rFonts w:hint="eastAsia" w:hAnsi="Times New Roman" w:cs="Times New Roman"/>
          <w:bCs/>
          <w:szCs w:val="22"/>
        </w:rPr>
        <w:t>提高投资质量效率</w:t>
      </w:r>
      <w:r>
        <w:rPr>
          <w:rFonts w:hint="eastAsia" w:hAnsi="Times New Roman" w:cs="Times New Roman"/>
          <w:bCs/>
          <w:color w:val="000000" w:themeColor="text1"/>
          <w:szCs w:val="22"/>
        </w:rPr>
        <w:t>。规范有序推进政府和社会资本合作（PPP）模式，推动公共服务从政府供给向合作供给、从单一投入向多元投入、从短期平衡向中长期平衡转变。设立政府引导、市场化运作的产业（股权）投资基金，积极吸引金融机构和社会资本参与。支持重点领域投资项目通过债券市场筹措资金，争取基础设施不动产投资信托基金（REITs）试点。加快建立规范的地方政府举债融资机制，加大地方政府专项债券用于公共领域重点项目建设力度。发挥投资项目在线审批监管平台作用，健全投资引导服务机制，完善投资事前评估和事后绩效评价机制，强化项目全过程监管。</w:t>
      </w:r>
    </w:p>
    <w:p>
      <w:pPr>
        <w:ind w:firstLine="640"/>
        <w:rPr>
          <w:rFonts w:ascii="Times New Roman" w:hAnsi="Times New Roman" w:cs="Times New Roman"/>
          <w:bCs/>
          <w:color w:val="000000" w:themeColor="text1"/>
          <w:szCs w:val="22"/>
        </w:rPr>
      </w:pPr>
    </w:p>
    <w:p>
      <w:pPr>
        <w:keepNext/>
        <w:keepLines/>
        <w:ind w:firstLine="0" w:firstLineChars="0"/>
        <w:jc w:val="center"/>
        <w:outlineLvl w:val="2"/>
        <w:rPr>
          <w:rFonts w:ascii="方正楷体_GBK" w:hAnsi="Times New Roman" w:eastAsia="方正楷体_GBK" w:cs="Times New Roman"/>
          <w:bCs/>
          <w:color w:val="000000" w:themeColor="text1"/>
          <w:szCs w:val="32"/>
        </w:rPr>
      </w:pPr>
      <w:bookmarkStart w:id="104" w:name="_Toc66870210"/>
      <w:r>
        <w:rPr>
          <w:rFonts w:hint="eastAsia" w:ascii="方正楷体_GBK" w:hAnsi="Times New Roman" w:eastAsia="方正楷体_GBK" w:cs="Times New Roman"/>
          <w:bCs/>
          <w:color w:val="000000" w:themeColor="text1"/>
          <w:szCs w:val="32"/>
        </w:rPr>
        <w:t xml:space="preserve">第四节  </w:t>
      </w:r>
      <w:bookmarkEnd w:id="99"/>
      <w:r>
        <w:rPr>
          <w:rFonts w:hint="eastAsia" w:ascii="方正楷体_GBK" w:hAnsi="Times New Roman" w:eastAsia="方正楷体_GBK" w:cs="Times New Roman"/>
          <w:bCs/>
          <w:color w:val="000000" w:themeColor="text1"/>
          <w:szCs w:val="32"/>
        </w:rPr>
        <w:t>持续深化“放管服”改革</w:t>
      </w:r>
      <w:bookmarkEnd w:id="104"/>
    </w:p>
    <w:p>
      <w:pPr>
        <w:ind w:firstLine="640"/>
        <w:rPr>
          <w:rFonts w:hAnsi="Times New Roman" w:cs="Times New Roman"/>
          <w:bCs/>
          <w:color w:val="000000" w:themeColor="text1"/>
          <w:szCs w:val="22"/>
        </w:rPr>
      </w:pPr>
      <w:r>
        <w:rPr>
          <w:rFonts w:hint="eastAsia" w:hAnsi="Times New Roman" w:cs="Times New Roman"/>
          <w:bCs/>
          <w:color w:val="000000" w:themeColor="text1"/>
          <w:szCs w:val="22"/>
        </w:rPr>
        <w:t>以创新政府管理和服务方式为重点，加快转变政府职能，完善政府治理体系，打响“无难事、悉心办”品牌，建设最优营商环境城市。</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持续提高简政便民水平。依法取消和下放行政权力事项，规范行政审批中介服务。深化“一件事”改革，推广“无证件办事”，精准服务企业群众。加快实现政务服务“一网通办”，推动电子证照在政务服务领域全面应用，提高同城办、省内办、跨省办水平。强化各级政务服务中心建设，推行“综合窗口”改革，构建线上线下政务服务体系，建成“15分钟政务服务办事圈”。深化工程建设项目审批制度改革，推行全流程在线审批。加快公共资源交易平台整合共享，加快推进平台交易全覆盖，创新交易监管机制，提高公共资源配置效率和公平性。完善“12345政府热线”功能，推动政务热线“一号对外、统一服务”。</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建立健全新型监管机制。加强市场监管制度体系改革创新，实施涉企经营许可事项清单管理，强化事中事后监管。全面推广“证照分离”改革试点全覆盖，加快“互联网+监管”系统建设，健全以“双随机、一公开”监管为基本手段、以重点监管为补充、以信用监管为基础的新型监管机制。对新产业新业态实施包容审慎监管，分类定制监管规则和标准。实行执法监督督办制度，建立健全行政处罚和刑事处罚衔接机制。发挥媒体、社会公众舆论监督作用，实现市场监管社会协同共治。</w:t>
      </w:r>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完善企业全生命周期服务机制。围绕企业注册登记、业务开展、资本运作、清算退出等全生命周期，提供便利化服务管理。深化商事制度改革，全面推行告知承诺制，优化企业登记服务。推进减税降费，严格规范涉企收费，确保各项惠企惠民政策直达基层、直接惠及市场主体。优化涉企政策供给体系，完善企业家参与涉企政策制定的长效机制，建立健全重大突发事件市场主体纾困救助制度，营造公开透明、可预期的发展环境。</w:t>
      </w:r>
    </w:p>
    <w:p>
      <w:pPr>
        <w:ind w:firstLine="640"/>
        <w:rPr>
          <w:rFonts w:hAnsi="Times New Roman" w:cs="Times New Roman"/>
          <w:color w:val="000000" w:themeColor="text1"/>
          <w:szCs w:val="22"/>
        </w:rPr>
      </w:pPr>
    </w:p>
    <w:bookmarkEnd w:id="100"/>
    <w:bookmarkEnd w:id="101"/>
    <w:p>
      <w:pPr>
        <w:pStyle w:val="4"/>
        <w:rPr>
          <w:rFonts w:ascii="Times New Roman" w:hAnsi="Times New Roman" w:cs="Times New Roman"/>
          <w:color w:val="000000" w:themeColor="text1"/>
        </w:rPr>
      </w:pPr>
      <w:bookmarkStart w:id="105" w:name="_Toc66870211"/>
      <w:r>
        <w:rPr>
          <w:rFonts w:ascii="Times New Roman" w:hAnsi="Times New Roman" w:cs="Times New Roman"/>
          <w:color w:val="000000" w:themeColor="text1"/>
        </w:rPr>
        <w:t>第五节  突出集成改革突破</w:t>
      </w:r>
      <w:bookmarkEnd w:id="105"/>
    </w:p>
    <w:p>
      <w:pPr>
        <w:ind w:firstLine="640"/>
        <w:rPr>
          <w:rFonts w:hAnsi="Times New Roman" w:cs="Times New Roman"/>
          <w:bCs/>
          <w:color w:val="000000" w:themeColor="text1"/>
          <w:szCs w:val="22"/>
        </w:rPr>
      </w:pPr>
      <w:r>
        <w:rPr>
          <w:rFonts w:hint="eastAsia" w:hAnsi="Times New Roman" w:cs="Times New Roman"/>
          <w:bCs/>
          <w:color w:val="000000" w:themeColor="text1"/>
          <w:szCs w:val="22"/>
        </w:rPr>
        <w:t>坚持目标导向、问题导向和结果导向，聚焦经济社会发展关键性、基础性领域和环节，以系统思维、精准路径、创新实践，有效破解制约高质量发展的体制机制障碍，实现重点领域改革集成突破。加强跨领域跨部门协同，整合政策资源，统筹要素配置，强化试点示范，探索综合性、集成性、引领性改革新路径。开展跨行政区联动改革试点，探索要素自由流动、功能共建共享、治理协同配合的互利共赢新机制。尊重和弘扬基层首创精神，继续复制推广江阴市县级集成改革试点经验，支持开展特色化、个性化、集成化改革新探索，建立基层改革创新成果评估优化机制。深化事业单位改革，优化调整镇（街道）区划设置。落实重大改革措施与立法决策衔接制度，完善改革风险预判、成效评估和容错纠错机制。</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方正黑体_GBK" w:hAnsi="Times New Roman" w:eastAsia="方正黑体_GBK" w:cs="Times New Roman"/>
          <w:bCs/>
          <w:color w:val="000000" w:themeColor="text1"/>
          <w:szCs w:val="32"/>
        </w:rPr>
      </w:pPr>
      <w:bookmarkStart w:id="106" w:name="_Toc56155323"/>
      <w:bookmarkStart w:id="107" w:name="_Toc55236651"/>
      <w:bookmarkStart w:id="108" w:name="_Toc56442352"/>
      <w:bookmarkStart w:id="109" w:name="_Toc66870212"/>
      <w:bookmarkStart w:id="110" w:name="_Toc56155356"/>
      <w:bookmarkStart w:id="111" w:name="_Toc55236684"/>
      <w:r>
        <w:rPr>
          <w:rFonts w:hint="eastAsia" w:ascii="方正黑体_GBK" w:hAnsi="Times New Roman" w:eastAsia="方正黑体_GBK" w:cs="Times New Roman"/>
          <w:bCs/>
          <w:color w:val="000000" w:themeColor="text1"/>
          <w:szCs w:val="32"/>
        </w:rPr>
        <w:t>第十一章  促进高水平对外开放</w:t>
      </w:r>
      <w:bookmarkEnd w:id="106"/>
      <w:bookmarkEnd w:id="107"/>
      <w:bookmarkEnd w:id="108"/>
      <w:bookmarkEnd w:id="109"/>
    </w:p>
    <w:p>
      <w:pPr>
        <w:ind w:firstLine="640"/>
        <w:rPr>
          <w:rFonts w:hAnsi="Times New Roman" w:cs="Times New Roman"/>
          <w:color w:val="000000" w:themeColor="text1"/>
        </w:rPr>
      </w:pPr>
      <w:r>
        <w:rPr>
          <w:rFonts w:hint="eastAsia" w:hAnsi="Times New Roman" w:cs="Times New Roman"/>
          <w:color w:val="000000" w:themeColor="text1"/>
        </w:rPr>
        <w:t>抢抓“一带一路”交汇点建设、区域全面经济伙伴关系协定（RCEP）和中欧</w:t>
      </w:r>
      <w:r>
        <w:rPr>
          <w:rFonts w:hint="eastAsia" w:hAnsi="Times New Roman" w:cs="Times New Roman"/>
        </w:rPr>
        <w:t>全面</w:t>
      </w:r>
      <w:r>
        <w:rPr>
          <w:rFonts w:hint="eastAsia" w:hAnsi="Times New Roman" w:cs="Times New Roman"/>
          <w:color w:val="000000" w:themeColor="text1"/>
        </w:rPr>
        <w:t>投资协定</w:t>
      </w:r>
      <w:r>
        <w:rPr>
          <w:rFonts w:hint="eastAsia" w:hAnsi="Times New Roman" w:cs="Times New Roman"/>
        </w:rPr>
        <w:t>（CAI）</w:t>
      </w:r>
      <w:r>
        <w:rPr>
          <w:rFonts w:hint="eastAsia" w:hAnsi="Times New Roman" w:cs="Times New Roman"/>
          <w:color w:val="000000" w:themeColor="text1"/>
        </w:rPr>
        <w:t>签订等合作机遇，积极参与全球产业链供应链价值链体系重构，率先建设高水平开放型经济新体制，加快培育开放发展新动能，</w:t>
      </w:r>
      <w:r>
        <w:rPr>
          <w:rFonts w:hint="eastAsia" w:hAnsi="Times New Roman" w:cs="Times New Roman"/>
        </w:rPr>
        <w:t>打造</w:t>
      </w:r>
      <w:r>
        <w:rPr>
          <w:rFonts w:hint="eastAsia" w:hAnsi="Times New Roman" w:cs="Times New Roman"/>
          <w:color w:val="000000" w:themeColor="text1"/>
        </w:rPr>
        <w:t>开放强市。</w:t>
      </w:r>
    </w:p>
    <w:p>
      <w:pPr>
        <w:ind w:firstLine="640"/>
        <w:rPr>
          <w:rFonts w:ascii="Times New Roman" w:hAnsi="Times New Roman" w:cs="Times New Roman"/>
          <w:color w:val="000000" w:themeColor="text1"/>
        </w:rPr>
      </w:pPr>
    </w:p>
    <w:p>
      <w:pPr>
        <w:keepNext/>
        <w:keepLines/>
        <w:ind w:firstLine="0" w:firstLineChars="0"/>
        <w:jc w:val="center"/>
        <w:outlineLvl w:val="2"/>
        <w:rPr>
          <w:rFonts w:ascii="方正楷体_GBK" w:hAnsi="Times New Roman" w:eastAsia="方正楷体_GBK" w:cs="Times New Roman"/>
          <w:bCs/>
          <w:color w:val="000000" w:themeColor="text1"/>
          <w:szCs w:val="32"/>
        </w:rPr>
      </w:pPr>
      <w:bookmarkStart w:id="112" w:name="_Toc56155324"/>
      <w:bookmarkStart w:id="113" w:name="_Toc66870213"/>
      <w:bookmarkStart w:id="114" w:name="_Toc55236652"/>
      <w:bookmarkStart w:id="115" w:name="_Toc56442353"/>
      <w:r>
        <w:rPr>
          <w:rFonts w:hint="eastAsia" w:ascii="方正楷体_GBK" w:hAnsi="Times New Roman" w:eastAsia="方正楷体_GBK" w:cs="Times New Roman"/>
          <w:bCs/>
          <w:color w:val="000000" w:themeColor="text1"/>
          <w:szCs w:val="32"/>
        </w:rPr>
        <w:t>第一节  高质量融入“一带一路”建设</w:t>
      </w:r>
      <w:bookmarkEnd w:id="112"/>
      <w:bookmarkEnd w:id="113"/>
      <w:bookmarkEnd w:id="114"/>
      <w:bookmarkEnd w:id="115"/>
    </w:p>
    <w:p>
      <w:pPr>
        <w:ind w:firstLine="640"/>
        <w:rPr>
          <w:rFonts w:hAnsi="Times New Roman" w:cs="Times New Roman"/>
          <w:color w:val="000000" w:themeColor="text1"/>
        </w:rPr>
      </w:pPr>
      <w:r>
        <w:rPr>
          <w:rFonts w:hint="eastAsia" w:hAnsi="Times New Roman" w:cs="Times New Roman"/>
          <w:color w:val="000000" w:themeColor="text1"/>
        </w:rPr>
        <w:t>遵循市场规律和国际规则，实施对外友好交流“深耕计划”，深化与“一带一路”沿线国家地区在产业、园区、人文等领域合作交流，打造“一带一路”建设典范。</w:t>
      </w:r>
    </w:p>
    <w:p>
      <w:pPr>
        <w:ind w:firstLine="640"/>
        <w:rPr>
          <w:rFonts w:hAnsi="Times New Roman" w:cs="Times New Roman"/>
          <w:color w:val="000000" w:themeColor="text1"/>
        </w:rPr>
      </w:pPr>
      <w:r>
        <w:rPr>
          <w:rFonts w:hint="eastAsia" w:hAnsi="Times New Roman" w:cs="Times New Roman"/>
          <w:color w:val="000000" w:themeColor="text1"/>
        </w:rPr>
        <w:t>深化国际产能合作。鼓励支持企业国际化发展、全球化布局，重点提高轻纺、汽车零部件、能源电力装备制造等无锡优势行业在非洲、东南亚、拉美等地区影响力，培育本土跨国公司，在全省率先建成国际产能合作示范城市。聚焦生物医药、集成电路、高端装备等领域，深化与英国、比利时、芬兰等国家的友城交流合作，搭建国际科技合作平台，办好全球锡商大会、国际友好城市产业对接合作大会等活</w:t>
      </w:r>
      <w:r>
        <w:rPr>
          <w:rFonts w:hAnsi="Times New Roman" w:cs="Times New Roman"/>
          <w:color w:val="000000" w:themeColor="text1"/>
        </w:rPr>
        <w:t>动</w:t>
      </w:r>
      <w:r>
        <w:rPr>
          <w:rFonts w:hint="eastAsia" w:hAnsi="Times New Roman" w:cs="Times New Roman"/>
          <w:color w:val="000000" w:themeColor="text1"/>
        </w:rPr>
        <w:t>。到2025年，全市境外投资中方协议投资额累计超过190亿美元。</w:t>
      </w:r>
    </w:p>
    <w:p>
      <w:pPr>
        <w:ind w:firstLine="640"/>
        <w:rPr>
          <w:rFonts w:hAnsi="Times New Roman" w:cs="Times New Roman"/>
          <w:color w:val="000000" w:themeColor="text1"/>
        </w:rPr>
      </w:pPr>
      <w:r>
        <w:rPr>
          <w:rFonts w:hint="eastAsia" w:hAnsi="Times New Roman" w:cs="Times New Roman"/>
          <w:color w:val="000000" w:themeColor="text1"/>
        </w:rPr>
        <w:t>加强境外园区建设。</w:t>
      </w:r>
      <w:r>
        <w:rPr>
          <w:rFonts w:hint="eastAsia" w:hAnsi="Times New Roman" w:cs="Times New Roman"/>
          <w:bCs/>
          <w:color w:val="000000" w:themeColor="text1"/>
        </w:rPr>
        <w:t>将无锡产业发展优势、园区建设管理经验与“一带一路”沿线国家的资源禀赋、市场要素相结合，推进企业海外发展平台载体建设，支持企业抱团出海、集聚发展，有序推动产业链向境外延伸。</w:t>
      </w:r>
      <w:r>
        <w:rPr>
          <w:rFonts w:hint="eastAsia" w:hAnsi="Times New Roman" w:cs="Times New Roman"/>
          <w:color w:val="000000" w:themeColor="text1"/>
        </w:rPr>
        <w:t>推动柬埔</w:t>
      </w:r>
      <w:r>
        <w:rPr>
          <w:rFonts w:hint="eastAsia" w:hAnsi="Times New Roman" w:cs="Times New Roman"/>
          <w:bCs/>
          <w:color w:val="000000" w:themeColor="text1"/>
        </w:rPr>
        <w:t>寨西哈努克港经济特区产城融合发展，提高基础设施和配套服务设施承载能力，建设西港工商学院，支持西港特区载体公司上市融资。</w:t>
      </w:r>
      <w:r>
        <w:rPr>
          <w:rFonts w:hint="eastAsia" w:hAnsi="Times New Roman" w:cs="Times New Roman"/>
          <w:bCs/>
        </w:rPr>
        <w:t>助推优势产业链龙</w:t>
      </w:r>
      <w:r>
        <w:rPr>
          <w:rFonts w:hint="eastAsia" w:hAnsi="Times New Roman" w:cs="Times New Roman"/>
          <w:bCs/>
          <w:color w:val="000000" w:themeColor="text1"/>
        </w:rPr>
        <w:t>头企业牵头新设省级境外园区，打造一批“一带一路”合作倡议标杆和示范项目。到2025年，全市拥有省级以上境外园区达到2家。</w:t>
      </w:r>
    </w:p>
    <w:p>
      <w:pPr>
        <w:ind w:firstLine="640"/>
        <w:rPr>
          <w:rFonts w:hAnsi="Times New Roman" w:cs="Times New Roman"/>
          <w:bCs/>
          <w:color w:val="000000" w:themeColor="text1"/>
        </w:rPr>
      </w:pPr>
      <w:r>
        <w:rPr>
          <w:rFonts w:hint="eastAsia" w:hAnsi="Times New Roman" w:cs="Times New Roman"/>
          <w:color w:val="000000" w:themeColor="text1"/>
        </w:rPr>
        <w:t>深化国际人文交流合作。</w:t>
      </w:r>
      <w:r>
        <w:rPr>
          <w:rFonts w:hint="eastAsia" w:hAnsi="Times New Roman" w:cs="Times New Roman"/>
          <w:bCs/>
          <w:color w:val="000000" w:themeColor="text1"/>
        </w:rPr>
        <w:t>构建立体式、全方位国际交流新格局，促进国际教育卫生合作，支持符合条件的高校与“一带一路”沿线国家和地区开展双边多边合作办学培训，深化与沿线国家卫生健康合作，共建健康丝绸之路。推动国际文化旅游体育交流合作，组织开展文</w:t>
      </w:r>
      <w:r>
        <w:rPr>
          <w:rFonts w:hint="eastAsia" w:hAnsi="Times New Roman" w:cs="Times New Roman"/>
          <w:color w:val="000000" w:themeColor="text1"/>
        </w:rPr>
        <w:t>化交流、文艺演出等活动，</w:t>
      </w:r>
      <w:r>
        <w:rPr>
          <w:rFonts w:hint="eastAsia" w:hAnsi="Times New Roman" w:cs="Times New Roman"/>
          <w:bCs/>
          <w:color w:val="000000" w:themeColor="text1"/>
        </w:rPr>
        <w:t>加大旅游宣传推广，</w:t>
      </w:r>
      <w:r>
        <w:rPr>
          <w:rFonts w:hint="eastAsia" w:hAnsi="Times New Roman" w:cs="Times New Roman"/>
          <w:color w:val="000000" w:themeColor="text1"/>
        </w:rPr>
        <w:t>强</w:t>
      </w:r>
      <w:r>
        <w:rPr>
          <w:rFonts w:hint="eastAsia" w:hAnsi="Times New Roman" w:cs="Times New Roman"/>
          <w:bCs/>
          <w:color w:val="000000" w:themeColor="text1"/>
        </w:rPr>
        <w:t>化民间体育交流，共同开辟新的发展空间。优化友城布局，与俄罗斯、东欧、东南亚和非洲等国家地区开展交流合作。</w:t>
      </w:r>
    </w:p>
    <w:p>
      <w:pPr>
        <w:ind w:firstLine="640"/>
        <w:rPr>
          <w:rFonts w:hAnsi="Times New Roman" w:cs="Times New Roman"/>
          <w:color w:val="000000" w:themeColor="text1"/>
        </w:rPr>
      </w:pPr>
      <w:r>
        <w:rPr>
          <w:rFonts w:hint="eastAsia" w:hAnsi="Times New Roman" w:cs="Times New Roman"/>
          <w:color w:val="000000" w:themeColor="text1"/>
        </w:rPr>
        <w:t>完善综合保障服务体系。加强企业海外利益保护，引导企业加强境外合规经营管理体系建设，</w:t>
      </w:r>
      <w:r>
        <w:rPr>
          <w:rFonts w:hint="eastAsia" w:hAnsi="Times New Roman" w:cs="Times New Roman"/>
          <w:color w:val="000000" w:themeColor="text1"/>
          <w:kern w:val="0"/>
          <w:szCs w:val="32"/>
        </w:rPr>
        <w:t>督促企业严格落实境外企业安全主体责任</w:t>
      </w:r>
      <w:r>
        <w:rPr>
          <w:rFonts w:hint="eastAsia" w:hAnsi="Times New Roman" w:cs="Times New Roman"/>
          <w:color w:val="000000" w:themeColor="text1"/>
        </w:rPr>
        <w:t>。发挥市“一带一路”法律服务中心等海外发展服务平台作用，提高涉外法律服务能力。强化境外风险防范，支持信用保险机构为“走出去”企业提供风险咨询和保险服务。</w:t>
      </w:r>
    </w:p>
    <w:p>
      <w:pPr>
        <w:ind w:firstLine="640"/>
        <w:rPr>
          <w:rFonts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16" w:name="_Toc66870214"/>
      <w:bookmarkStart w:id="117" w:name="_Toc55236653"/>
      <w:bookmarkStart w:id="118" w:name="_Toc56155325"/>
      <w:bookmarkStart w:id="119" w:name="_Toc56442354"/>
      <w:r>
        <w:rPr>
          <w:rFonts w:ascii="Times New Roman" w:hAnsi="Times New Roman" w:eastAsia="方正楷体_GBK" w:cs="Times New Roman"/>
          <w:bCs/>
          <w:color w:val="000000" w:themeColor="text1"/>
          <w:szCs w:val="32"/>
        </w:rPr>
        <w:t>第二节  增强外贸外资发展新动能</w:t>
      </w:r>
      <w:bookmarkEnd w:id="116"/>
      <w:bookmarkEnd w:id="117"/>
      <w:bookmarkEnd w:id="118"/>
      <w:bookmarkEnd w:id="119"/>
    </w:p>
    <w:p>
      <w:pPr>
        <w:ind w:firstLine="640"/>
        <w:rPr>
          <w:rFonts w:hAnsi="Times New Roman" w:cs="Times New Roman"/>
          <w:color w:val="000000" w:themeColor="text1"/>
        </w:rPr>
      </w:pPr>
      <w:r>
        <w:rPr>
          <w:rFonts w:hint="eastAsia" w:hAnsi="Times New Roman" w:cs="Times New Roman"/>
          <w:color w:val="000000" w:themeColor="text1"/>
        </w:rPr>
        <w:t>统筹高水平引进来和高水平走出去，推动规则理念、创新技术与要素配置融合互促，全面参与全球性、区域性分工格局重构，形成无锡对全球资源要素的“引力场”。</w:t>
      </w:r>
      <w:r>
        <w:rPr>
          <w:rFonts w:hint="eastAsia" w:hAnsi="Times New Roman" w:cs="Times New Roman"/>
          <w:bCs/>
          <w:color w:val="000000" w:themeColor="text1"/>
        </w:rPr>
        <w:t>到2025年，累计实际使用外资达到870亿美元，培育省级外资总部企业超过60家。</w:t>
      </w:r>
    </w:p>
    <w:p>
      <w:pPr>
        <w:ind w:firstLine="640"/>
        <w:rPr>
          <w:rFonts w:hAnsi="Times New Roman" w:cs="Times New Roman"/>
          <w:color w:val="000000" w:themeColor="text1"/>
        </w:rPr>
      </w:pPr>
      <w:r>
        <w:rPr>
          <w:rFonts w:hint="eastAsia" w:hAnsi="Times New Roman" w:cs="Times New Roman"/>
          <w:color w:val="000000" w:themeColor="text1"/>
        </w:rPr>
        <w:t>优化外贸结构方式。</w:t>
      </w:r>
      <w:r>
        <w:rPr>
          <w:rFonts w:hint="eastAsia" w:hAnsi="Times New Roman" w:cs="Times New Roman"/>
          <w:bCs/>
          <w:color w:val="000000" w:themeColor="text1"/>
        </w:rPr>
        <w:t>推动“优进”“优出”，促进贸易与产业协调发展，实现国内国际要素有序流动、市场深度融合，提高对外贸易综合竞争力。</w:t>
      </w:r>
      <w:r>
        <w:rPr>
          <w:rFonts w:hint="eastAsia" w:hAnsi="Times New Roman" w:cs="Times New Roman"/>
          <w:color w:val="000000" w:themeColor="text1"/>
        </w:rPr>
        <w:t>实施高质量贸易促进计划，培育国际品牌，拓展国际营销网络，扩大机械装备、海工船舶、新能源等高技术、高附加值产品的出口规模，稳定纺织服装、医药化工等传统优势产品出口。对接国家中小外贸企业成长行动计划，鼓励“专精特新”中小企业国际化</w:t>
      </w:r>
      <w:r>
        <w:rPr>
          <w:rFonts w:hint="eastAsia" w:hAnsi="Times New Roman" w:cs="Times New Roman"/>
        </w:rPr>
        <w:t>发展，增强中</w:t>
      </w:r>
      <w:r>
        <w:rPr>
          <w:rFonts w:hint="eastAsia" w:hAnsi="Times New Roman" w:cs="Times New Roman"/>
          <w:color w:val="000000" w:themeColor="text1"/>
        </w:rPr>
        <w:t>小企业贸易竞争力。实施市场多元化战略，深度开发发达国家细分市场，重点拓展东亚市场，搭建日韩高端经贸合作平台。积极发展进口贸易，扩大先进技术设备、关键零部件和紧缺资源、原材料进口，培育一批重点进口平台，创建国家进口贸易促进创新示范区。发展跨境电子商务，高水平推进中国（无锡）跨境电子商务综合试验区建设，支持建设公共海外仓，为跨境电商企业提供通关、物流及金融创新等服务。</w:t>
      </w:r>
    </w:p>
    <w:p>
      <w:pPr>
        <w:ind w:firstLine="640"/>
        <w:rPr>
          <w:rFonts w:hAnsi="Times New Roman" w:cs="Times New Roman"/>
          <w:bCs/>
          <w:color w:val="000000" w:themeColor="text1"/>
        </w:rPr>
      </w:pPr>
      <w:r>
        <w:rPr>
          <w:rFonts w:hint="eastAsia" w:hAnsi="Times New Roman" w:cs="Times New Roman"/>
          <w:color w:val="000000" w:themeColor="text1"/>
        </w:rPr>
        <w:t>提升利用外资质量水平。</w:t>
      </w:r>
      <w:r>
        <w:rPr>
          <w:rFonts w:hint="eastAsia" w:hAnsi="Times New Roman" w:cs="Times New Roman"/>
          <w:bCs/>
          <w:color w:val="000000" w:themeColor="text1"/>
        </w:rPr>
        <w:t>全面实施外商投资法及其实施条例，落实外商投资准入前国民待遇加负面清单管理制度，依法保护外资企业合法权益。积极拓展引资方式，健全重大外资项目“直通车”制度，突出强化链式招商，</w:t>
      </w:r>
      <w:r>
        <w:rPr>
          <w:rFonts w:hint="eastAsia" w:hAnsi="Times New Roman" w:cs="Times New Roman"/>
          <w:bCs/>
        </w:rPr>
        <w:t>积极</w:t>
      </w:r>
      <w:r>
        <w:rPr>
          <w:rFonts w:hint="eastAsia" w:hAnsi="Times New Roman" w:cs="Times New Roman"/>
          <w:bCs/>
          <w:color w:val="000000" w:themeColor="text1"/>
        </w:rPr>
        <w:t>引入跨国公司产业链、创新链和价值链高端环节。创新“以民引外”新方式，促进外资企业与本土企业融合发展。推动引资引技引智“三引结合”，鼓励支持外资企业在锡设立研发中心、实施产品升级和技术改造、培育国际化科技人才队伍。拓宽利用外资渠道，引导外资投向先进制造、高新技术、服务经济和现代农业等重点领域和关联产业，支持外资参与公共服务、生态保护和基础设施建设。鼓励有条件的民营企业以跨国并购、境外上市再返程投资的方式引进境外资本。</w:t>
      </w:r>
    </w:p>
    <w:p>
      <w:pPr>
        <w:ind w:firstLine="640"/>
        <w:rPr>
          <w:rFonts w:hAnsi="Times New Roman" w:cs="Times New Roman"/>
        </w:rPr>
      </w:pPr>
      <w:r>
        <w:rPr>
          <w:rFonts w:hint="eastAsia" w:hAnsi="Times New Roman" w:cs="Times New Roman"/>
          <w:color w:val="000000" w:themeColor="text1"/>
        </w:rPr>
        <w:t>创新发展服务贸易。发挥国家外贸转型升级基地作用，完善外贸综合服务企业发展政策，鼓励企业从生产加工环节向产品研发、设计、渠道、品牌推广等高附加值环节延伸，形成服务贸易竞争新优势。实施服务业对外开放政策措施，深化国家服务外包示范城市、国家文化出口基地建设，拓展技术、文化、金融等知识型服务贸易领域，培育发展境外商品区域分销、国际先进技术研发应用等进口服</w:t>
      </w:r>
      <w:r>
        <w:rPr>
          <w:rFonts w:hint="eastAsia" w:hAnsi="Times New Roman" w:cs="Times New Roman"/>
        </w:rPr>
        <w:t>务贸易，创建服务贸易创新发展试点城市。</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20" w:name="_Toc66870215"/>
      <w:bookmarkStart w:id="121" w:name="_Toc56155326"/>
      <w:bookmarkStart w:id="122" w:name="_Toc55236654"/>
      <w:bookmarkStart w:id="123" w:name="_Toc56442355"/>
      <w:r>
        <w:rPr>
          <w:rFonts w:ascii="Times New Roman" w:hAnsi="Times New Roman" w:eastAsia="方正楷体_GBK" w:cs="Times New Roman"/>
          <w:bCs/>
          <w:color w:val="000000" w:themeColor="text1"/>
          <w:szCs w:val="32"/>
        </w:rPr>
        <w:t>第三节  建设国际化载体平台</w:t>
      </w:r>
      <w:bookmarkEnd w:id="120"/>
      <w:bookmarkEnd w:id="121"/>
      <w:bookmarkEnd w:id="122"/>
      <w:bookmarkEnd w:id="123"/>
    </w:p>
    <w:p>
      <w:pPr>
        <w:ind w:firstLine="640"/>
        <w:rPr>
          <w:rFonts w:hAnsi="Times New Roman" w:cs="Times New Roman"/>
          <w:color w:val="000000" w:themeColor="text1"/>
          <w:szCs w:val="22"/>
        </w:rPr>
      </w:pPr>
      <w:r>
        <w:rPr>
          <w:rFonts w:hint="eastAsia" w:hAnsi="Times New Roman" w:cs="Times New Roman"/>
          <w:color w:val="000000" w:themeColor="text1"/>
        </w:rPr>
        <w:t>发挥重大开放平台载体作用，系统推进开发区开放创新、科技创新、制度创新，强化产业</w:t>
      </w:r>
      <w:r>
        <w:rPr>
          <w:rFonts w:hint="eastAsia" w:hAnsi="Times New Roman" w:cs="Times New Roman"/>
          <w:color w:val="000000" w:themeColor="text1"/>
          <w:szCs w:val="22"/>
        </w:rPr>
        <w:t>链建设服务功能，打造多元国际化开放平台。到2025年，全市开发区利用外资占全市利用外资比重达到90%，开发区货物贸易占全市货物贸易比重达到85%。</w:t>
      </w:r>
    </w:p>
    <w:p>
      <w:pPr>
        <w:tabs>
          <w:tab w:val="left" w:pos="4111"/>
        </w:tabs>
        <w:ind w:firstLine="640"/>
        <w:rPr>
          <w:rFonts w:hAnsi="Times New Roman" w:cs="Times New Roman"/>
          <w:color w:val="000000" w:themeColor="text1"/>
          <w:szCs w:val="22"/>
        </w:rPr>
      </w:pPr>
      <w:r>
        <w:rPr>
          <w:rFonts w:hint="eastAsia" w:hAnsi="Times New Roman" w:cs="Times New Roman"/>
          <w:color w:val="000000" w:themeColor="text1"/>
          <w:szCs w:val="22"/>
        </w:rPr>
        <w:t>激发开发区发展新动能。实施新一轮开发区高质量发展提升工程，分类推动开发区向现代产业园区转型，创新管理体制和考核机制，实施亩产效益综合评价制度，深化推动资源要素差异化配置，培育打造特色产业集群和创新集群，提高开发区产出质量效益。支持开发区依法依规制定招商引资优惠政策，探索推广“产业基金+专业园区”招商引资方式和市场化运作模式。</w:t>
      </w:r>
      <w:r>
        <w:rPr>
          <w:rFonts w:hint="eastAsia" w:hAnsi="Times New Roman" w:cs="Times New Roman"/>
          <w:color w:val="000000" w:themeColor="text1"/>
        </w:rPr>
        <w:t>实施</w:t>
      </w:r>
      <w:r>
        <w:rPr>
          <w:rFonts w:hint="eastAsia" w:hAnsi="Times New Roman" w:cs="Times New Roman"/>
          <w:color w:val="000000" w:themeColor="text1"/>
          <w:szCs w:val="22"/>
        </w:rPr>
        <w:t>国家级开发区全链条审批赋权清单制度，分批次分阶段有序下放审批权限，依法充分赋予开发区行政审批、经济管理以及必要的执法管理权限。推动发展水平较高的开发区整合托管区域相邻、产业相近的园区，鼓励开发区围绕优势产业建设各类区域中心、功能机构、创新载体和国际合作园区。支持江阴临港经济开发区、惠山经济开发区申报国家级经济技术开发区，推动有条件的园区创建省级高新技术产业开发区。</w:t>
      </w:r>
    </w:p>
    <w:p>
      <w:pPr>
        <w:ind w:firstLine="640"/>
        <w:rPr>
          <w:rFonts w:hAnsi="Times New Roman" w:cs="Times New Roman"/>
          <w:color w:val="000000" w:themeColor="text1"/>
          <w:szCs w:val="22"/>
        </w:rPr>
      </w:pPr>
      <w:r>
        <w:rPr>
          <w:rFonts w:hint="eastAsia" w:hAnsi="Times New Roman" w:cs="Times New Roman"/>
          <w:color w:val="000000" w:themeColor="text1"/>
          <w:szCs w:val="22"/>
        </w:rPr>
        <w:t>培育发展特色开放园区。聚焦生物医药、集成电路等重点领域，积极推进中欧（无锡）生命科技创新产业园、中韩（无锡）科技产业合作示范区建设，争创中日韩（江苏）产业合作示范区，拓宽与相关国家和地区的产业技术合作通道，创建省级国际合作园区。深入开展特色创新（产业）示范园区创建活动，加快培育一批主业突出、拥有自主知识产权和知名品牌、具有国际竞争力的优势骨干企业。</w:t>
      </w:r>
    </w:p>
    <w:p>
      <w:pPr>
        <w:ind w:firstLine="640"/>
        <w:rPr>
          <w:rFonts w:hAnsi="Times New Roman" w:cs="Times New Roman"/>
          <w:color w:val="000000" w:themeColor="text1"/>
        </w:rPr>
      </w:pPr>
      <w:r>
        <w:rPr>
          <w:rFonts w:hint="eastAsia" w:hAnsi="Times New Roman" w:cs="Times New Roman"/>
          <w:color w:val="000000" w:themeColor="text1"/>
        </w:rPr>
        <w:t>提升开放平台能级。提高口岸全天候通关保障水平，强化药品、冰鲜水产品、国际邮件等口岸功能，促进航空、水港口岸做大做强。推动跨境物流平台化管理和资源化整合，提升国际转运、仓储配送等服务效率，增强跨境电商与航空物流、快递物流的全链条国际竞争力。推进综合保税区高质量发展，着力发展加工制造、研发设计、物流分拨、监测维修、销售服务等重点领域，深化一般纳税人资格试点，增强综合保税区和特殊监管区功能。全面复制推广自由贸易试验区改革试点经验，争取设立中国（江苏）自由贸易试验区联动创新发展区。</w:t>
      </w:r>
    </w:p>
    <w:p>
      <w:pPr>
        <w:ind w:firstLine="640"/>
        <w:rPr>
          <w:rFonts w:hAnsi="Times New Roman" w:cs="Times New Roman"/>
          <w:color w:val="000000" w:themeColor="text1"/>
          <w:szCs w:val="22"/>
        </w:rPr>
      </w:pPr>
    </w:p>
    <w:p>
      <w:pPr>
        <w:pStyle w:val="4"/>
        <w:rPr>
          <w:rFonts w:ascii="Times New Roman" w:hAnsi="Times New Roman" w:cs="Times New Roman"/>
          <w:color w:val="000000" w:themeColor="text1"/>
        </w:rPr>
      </w:pPr>
      <w:bookmarkStart w:id="124" w:name="_Toc66870216"/>
      <w:r>
        <w:rPr>
          <w:rFonts w:ascii="Times New Roman" w:hAnsi="Times New Roman" w:cs="Times New Roman"/>
          <w:color w:val="000000" w:themeColor="text1"/>
        </w:rPr>
        <w:t>第四节  完善国际商务服务体系</w:t>
      </w:r>
      <w:bookmarkEnd w:id="124"/>
    </w:p>
    <w:p>
      <w:pPr>
        <w:ind w:firstLine="640"/>
        <w:rPr>
          <w:rFonts w:hAnsi="仿宋" w:cs="Times New Roman"/>
          <w:color w:val="000000" w:themeColor="text1"/>
        </w:rPr>
      </w:pPr>
      <w:r>
        <w:rPr>
          <w:rFonts w:hint="eastAsia" w:hAnsi="仿宋" w:cs="Times New Roman"/>
          <w:color w:val="000000" w:themeColor="text1"/>
        </w:rPr>
        <w:t>深化外资管理体制改革，加强事中事后监管服务，完善市场化、法治化、国际化营商环境。建立健全“24小时不打烊、360度无死角”的招商护商工作体系，完善招商护商专员制度，打响“无事不扰、有求必应”工作品牌，全力打造外商投资最满意城市。落实产业损害预警机制，实施外商投资全周期监管服务。建设国际一流智慧口岸，拓展国际贸易“单一窗口”功能，加快由口岸通关执法向口岸物流、贸易服务等全链条拓展。创新特殊物品出入境检验检疫监管服务，完善生物医药等领域特殊物品出入境检验检疫“一站式”监管服务机制。</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25" w:name="_Toc59723811"/>
      <w:bookmarkStart w:id="126" w:name="_Toc66870217"/>
      <w:r>
        <w:rPr>
          <w:rFonts w:ascii="Times New Roman" w:hAnsi="Times New Roman" w:eastAsia="方正黑体_GBK" w:cs="Times New Roman"/>
          <w:bCs/>
          <w:color w:val="000000" w:themeColor="text1"/>
          <w:szCs w:val="32"/>
        </w:rPr>
        <w:t>第十二章  提升城市文化软实力</w:t>
      </w:r>
      <w:bookmarkEnd w:id="125"/>
      <w:bookmarkEnd w:id="126"/>
    </w:p>
    <w:p>
      <w:pPr>
        <w:ind w:firstLine="640"/>
        <w:rPr>
          <w:rFonts w:hAnsi="Times New Roman" w:cs="Times New Roman"/>
          <w:color w:val="000000" w:themeColor="text1"/>
        </w:rPr>
      </w:pPr>
      <w:r>
        <w:rPr>
          <w:rFonts w:hint="eastAsia" w:hAnsi="Times New Roman" w:cs="Times New Roman"/>
          <w:color w:val="000000" w:themeColor="text1"/>
        </w:rPr>
        <w:t>高举中国特色社会主义伟大旗帜，增强文化自觉和文化自信，繁荣发展文化事业和文化产业，打响无锡特色文化品牌，促进满足人民文化需求和增强人民精神力量相统一，打造更具引领力、凝聚力、影响力的文化强市。</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27" w:name="_Toc55236666"/>
      <w:bookmarkStart w:id="128" w:name="_Toc56155338"/>
      <w:bookmarkStart w:id="129" w:name="_Toc59723812"/>
      <w:bookmarkStart w:id="130" w:name="_Toc66870218"/>
      <w:r>
        <w:rPr>
          <w:rFonts w:ascii="Times New Roman" w:hAnsi="Times New Roman" w:eastAsia="方正楷体_GBK" w:cs="Times New Roman"/>
          <w:bCs/>
          <w:color w:val="000000" w:themeColor="text1"/>
          <w:szCs w:val="32"/>
        </w:rPr>
        <w:t>第一节  强化思想价值</w:t>
      </w:r>
      <w:bookmarkEnd w:id="127"/>
      <w:bookmarkEnd w:id="128"/>
      <w:bookmarkEnd w:id="129"/>
      <w:r>
        <w:rPr>
          <w:rFonts w:ascii="Times New Roman" w:hAnsi="Times New Roman" w:eastAsia="方正楷体_GBK" w:cs="Times New Roman"/>
          <w:bCs/>
          <w:color w:val="000000" w:themeColor="text1"/>
          <w:szCs w:val="32"/>
        </w:rPr>
        <w:t>引领</w:t>
      </w:r>
      <w:bookmarkEnd w:id="130"/>
    </w:p>
    <w:p>
      <w:pPr>
        <w:ind w:firstLine="640"/>
        <w:rPr>
          <w:rFonts w:hAnsi="Times New Roman" w:cs="Times New Roman"/>
          <w:color w:val="000000" w:themeColor="text1"/>
          <w:u w:val="single"/>
        </w:rPr>
      </w:pPr>
      <w:r>
        <w:rPr>
          <w:rFonts w:hint="eastAsia" w:hAnsi="Times New Roman" w:cs="Times New Roman"/>
          <w:color w:val="000000" w:themeColor="text1"/>
        </w:rPr>
        <w:t>坚持以社会主义核心价值观为引领，加强社会主义精神文明建设，推动形成适应新时代要求的思想观念、精神面貌、文明风尚、行为规范。</w:t>
      </w:r>
    </w:p>
    <w:p>
      <w:pPr>
        <w:ind w:firstLine="640"/>
        <w:rPr>
          <w:rFonts w:hAnsi="Times New Roman" w:cs="Times New Roman"/>
          <w:color w:val="000000" w:themeColor="text1"/>
        </w:rPr>
      </w:pPr>
      <w:r>
        <w:rPr>
          <w:rFonts w:hint="eastAsia" w:hAnsi="Times New Roman" w:cs="Times New Roman"/>
          <w:color w:val="000000" w:themeColor="text1"/>
        </w:rPr>
        <w:t>壮大新时代主流思想舆论。坚持用习近平新时代中国特色社会主义思想定向领航，健全“不忘初心、牢记使命”长效机制。加强理论宣传阵地建设，强化思想理论武装，完善理论武装工作体系。加强舆论阵地建设，坚持马克思主义新闻观和正确舆论导向，大力推进媒体深度融合，建立完善全媒体传播体系，加强对各类媒体平台的规范管理，深入推进落实意识形态工作责任制，牢牢把握新闻舆论工作的主动权和主导权。加强高端学术交流平台建设，实施哲学社会科学创新工程，深化应用性理论研究，建设全省一流、全国知名的高端智库。</w:t>
      </w:r>
    </w:p>
    <w:p>
      <w:pPr>
        <w:ind w:firstLine="640"/>
        <w:rPr>
          <w:rFonts w:hAnsi="Times New Roman" w:cs="Times New Roman"/>
          <w:color w:val="000000" w:themeColor="text1"/>
        </w:rPr>
      </w:pPr>
      <w:r>
        <w:rPr>
          <w:rFonts w:hint="eastAsia" w:hAnsi="Times New Roman" w:cs="Times New Roman"/>
          <w:color w:val="000000" w:themeColor="text1"/>
        </w:rPr>
        <w:t>培育和践行社会主义核心价值观。发挥社会主义核心价值观引领风尚和凝心聚力的作用，培育和深化中国特色社会主义价值认同。推动理想信念教育常态化制度化，加强党史、新中国史、改革开放史、社会主义发展史教育，深化爱国主义、集体主义、社会主义教育，弘扬民族精神和时代精神。推动爱国主义教育贯穿国民教育、思想政治工作和精神文明建设全过程，基本形成未成年人核心价值观教育学校、家庭、社会“三结合”工作网络。到2025年，建成社会主义核心价值观示范点18个。</w:t>
      </w:r>
    </w:p>
    <w:p>
      <w:pPr>
        <w:ind w:firstLine="640"/>
        <w:rPr>
          <w:rFonts w:hAnsi="Times New Roman" w:cs="Times New Roman"/>
          <w:color w:val="000000" w:themeColor="text1"/>
        </w:rPr>
      </w:pPr>
      <w:r>
        <w:rPr>
          <w:rFonts w:hint="eastAsia" w:hAnsi="Times New Roman" w:cs="Times New Roman"/>
          <w:color w:val="000000" w:themeColor="text1"/>
        </w:rPr>
        <w:t>弘扬社会道德风尚。持续深化全国文明城市示范市建设，加强新时代公民道德建设，开展时代楷模、道德模范、最美人物、身边好人学习宣传活动，健全关爱礼遇先进典型和英雄模范制度，激励褒扬凡人善举。</w:t>
      </w:r>
      <w:r>
        <w:rPr>
          <w:rFonts w:hint="eastAsia" w:hAnsi="Times New Roman" w:cs="Times New Roman"/>
        </w:rPr>
        <w:t>加强家庭家教家风建设，推进移风易俗，提倡艰苦奋斗、勤俭节约，开展以劳动创造幸福为主题的宣传教育。</w:t>
      </w:r>
      <w:r>
        <w:rPr>
          <w:rFonts w:hint="eastAsia" w:hAnsi="Times New Roman" w:cs="Times New Roman"/>
          <w:color w:val="000000" w:themeColor="text1"/>
        </w:rPr>
        <w:t>实施志愿服务组织培育工程，完善“志愿无锡”平台建设和志愿者登记注册、激励嘉许等制度，推进志愿服务标准化站点建设。健全青少年理想信念教育机制，倡导未成年人践行文明礼仪。坚持德法并重，完善基础性精神文明创建常态管理机制，发挥文明行为“红黑榜”等平台作用</w:t>
      </w:r>
      <w:r>
        <w:rPr>
          <w:rFonts w:hint="eastAsia" w:hAnsi="Times New Roman" w:cs="Times New Roman"/>
        </w:rPr>
        <w:t>，提高市民文明素质</w:t>
      </w:r>
      <w:r>
        <w:rPr>
          <w:rFonts w:hint="eastAsia" w:hAnsi="Times New Roman" w:cs="Times New Roman"/>
          <w:color w:val="000000" w:themeColor="text1"/>
        </w:rPr>
        <w:t>。加强网络文明建设，实施新时代网络空间道德建设行动，发展积极健康的网络文化。到2025年，全市90%以上的行政村达到县级以上文明村标准，实现新时代文明实践中心、所、站建设全覆盖。</w:t>
      </w:r>
    </w:p>
    <w:p>
      <w:pPr>
        <w:ind w:firstLine="640"/>
        <w:rPr>
          <w:rFonts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31" w:name="_Toc56155339"/>
      <w:bookmarkStart w:id="132" w:name="_Toc66870219"/>
      <w:bookmarkStart w:id="133" w:name="_Toc55236667"/>
      <w:bookmarkStart w:id="134" w:name="_Toc59723813"/>
      <w:r>
        <w:rPr>
          <w:rFonts w:ascii="Times New Roman" w:hAnsi="Times New Roman" w:eastAsia="方正楷体_GBK" w:cs="Times New Roman"/>
          <w:bCs/>
          <w:color w:val="000000" w:themeColor="text1"/>
          <w:szCs w:val="32"/>
        </w:rPr>
        <w:t>第二节  彰显无锡文化特质</w:t>
      </w:r>
      <w:bookmarkEnd w:id="131"/>
      <w:bookmarkEnd w:id="132"/>
      <w:bookmarkEnd w:id="133"/>
      <w:bookmarkEnd w:id="134"/>
    </w:p>
    <w:p>
      <w:pPr>
        <w:ind w:firstLine="640"/>
        <w:rPr>
          <w:rFonts w:hAnsi="Times New Roman" w:cs="Times New Roman"/>
          <w:color w:val="000000" w:themeColor="text1"/>
        </w:rPr>
      </w:pPr>
      <w:r>
        <w:rPr>
          <w:rFonts w:hint="eastAsia" w:hAnsi="Times New Roman" w:cs="Times New Roman"/>
          <w:color w:val="000000" w:themeColor="text1"/>
        </w:rPr>
        <w:t>充分挖掘无锡时代精神和文化内涵，全面塑造特色文化品牌，建设与优秀传统文化相承接、与现代文明发展相贯通、与经济社会发展相辉映的江南文化名城。</w:t>
      </w:r>
    </w:p>
    <w:p>
      <w:pPr>
        <w:ind w:firstLine="640"/>
        <w:rPr>
          <w:rFonts w:hAnsi="Times New Roman" w:cs="Times New Roman"/>
          <w:color w:val="000000" w:themeColor="text1"/>
        </w:rPr>
      </w:pPr>
      <w:r>
        <w:rPr>
          <w:rFonts w:hint="eastAsia" w:hAnsi="Times New Roman" w:cs="Times New Roman"/>
          <w:color w:val="000000" w:themeColor="text1"/>
        </w:rPr>
        <w:t>塑造新时代无锡精神。发扬无锡刚柔并济的文化性格、经世致用的文化品格、崇文重教的文化传统、精巧雅致的文化审美，丰富“四千四万”精神内涵，形成新时代无锡精神。传承弘扬江南文化内在精华和时代精神，持续举办江南文脉论坛，挖掘文化资源、延续文化根脉、讲好无锡故事、留住无锡记忆，彰显文化魅力。建设一批文化雕塑和文化标识，擦亮“太湖佳绝处、运河水弄堂、灵山吉祥地、千年古吴都、百年工商城”城市名片，打响“太湖明珠·江南盛地”城市品牌。实施无锡文化研究工程，加强吴文化、工商文化等城市特色文化资源的研究阐释和开发运用，推进各类地方古籍、文献及重要档案等整理出版，组织编纂《无锡史》。</w:t>
      </w:r>
    </w:p>
    <w:p>
      <w:pPr>
        <w:ind w:firstLine="640"/>
        <w:rPr>
          <w:rFonts w:hAnsi="Times New Roman" w:cs="Times New Roman"/>
          <w:color w:val="000000" w:themeColor="text1"/>
        </w:rPr>
      </w:pPr>
      <w:r>
        <w:rPr>
          <w:rFonts w:hint="eastAsia" w:hAnsi="Times New Roman" w:cs="Times New Roman"/>
          <w:color w:val="000000" w:themeColor="text1"/>
        </w:rPr>
        <w:t>加强文化遗产保护传承利用。深入推进历史文化名城建设，优化文物、历史建筑等保护利用和非物质文化遗产保护传承机制。健全历史文化遗产资源资产管理制度，实施鸿山遗址、阖闾城遗址保护工程，开展革命遗址、红色遗产保护与展示提升工程，开展“名人”“名居”“名址”“名迹”挖掘工程，设立市文物考古研究院和无锡国专纪念馆。实施非物质文化遗产抢救性记录和数字化工程，打造非遗传承保护基地，建立非遗保护数据库，推动紫砂陶制作技艺申报“世界非遗”，支持惠山古镇参与江南水乡古镇联合申遗</w:t>
      </w:r>
      <w:r>
        <w:rPr>
          <w:rFonts w:hint="eastAsia" w:hAnsi="Times New Roman" w:cs="Times New Roman"/>
        </w:rPr>
        <w:t>，提升“非遗”传承保护水平</w:t>
      </w:r>
      <w:r>
        <w:rPr>
          <w:rFonts w:hint="eastAsia" w:hAnsi="Times New Roman" w:cs="Times New Roman"/>
          <w:color w:val="000000" w:themeColor="text1"/>
        </w:rPr>
        <w:t>。加强民间文化和传统工艺传承发展，开展锡剧振兴和保护工程，建设锡剧艺术中心，扩大宜兴紫砂、惠山泥人、梅村二胡、锡绣、留青竹刻等具有鲜明地域特征的文化标识影响力。</w:t>
      </w:r>
    </w:p>
    <w:p>
      <w:pPr>
        <w:ind w:firstLine="640"/>
        <w:rPr>
          <w:rFonts w:hAnsi="Times New Roman" w:cs="Times New Roman"/>
          <w:color w:val="000000" w:themeColor="text1"/>
        </w:rPr>
      </w:pPr>
      <w:r>
        <w:rPr>
          <w:rFonts w:hint="eastAsia" w:hAnsi="Times New Roman" w:cs="Times New Roman"/>
          <w:color w:val="000000" w:themeColor="text1"/>
        </w:rPr>
        <w:t>加强大运河无锡段建设。按照“先导段、示范段、样板段”的建设标准，构建“两园三带十五点”的空间布局，将大运河文化带无锡段打造成为最具江</w:t>
      </w:r>
      <w:r>
        <w:rPr>
          <w:rFonts w:hint="eastAsia" w:hAnsi="Times New Roman" w:cs="Times New Roman"/>
        </w:rPr>
        <w:t>南运河名城魅力、文商旅深度融合发展的文化休闲轴。落实运河沿线国土空间规划管控要求，加强大运河岸线资源保护，加大运河沿线河道水环境综合治理力度。完善大运河国家文化公园无锡段展示体系，推动古运河</w:t>
      </w:r>
      <w:r>
        <w:rPr>
          <w:rFonts w:hint="eastAsia" w:hAnsi="Times New Roman" w:cs="Times New Roman"/>
          <w:color w:val="000000" w:themeColor="text1"/>
        </w:rPr>
        <w:t>旅游度假区创建国家旅游度假区，打造江南运河文化展示传播示范区。到2025年，大运河无锡段保护传承利用格局全面形成，核心点段全面建成投运。</w:t>
      </w:r>
    </w:p>
    <w:p>
      <w:pPr>
        <w:ind w:firstLine="640"/>
        <w:rPr>
          <w:rFonts w:ascii="Times New Roman" w:hAnsi="Times New Roman" w:cs="Times New Roman"/>
          <w:color w:val="000000" w:themeColor="text1"/>
        </w:rPr>
      </w:pPr>
      <w:r>
        <w:rPr>
          <w:rFonts w:ascii="Times New Roman" w:hAnsi="Times New Roman" w:cs="Times New Roman"/>
          <w:color w:val="000000" w:themeColor="text1"/>
        </w:rPr>
        <w:pict>
          <v:shape id="_x0000_s1031" o:spid="_x0000_s1031" o:spt="202" type="#_x0000_t202" style="position:absolute;left:0pt;margin-top:34.2pt;height:261pt;width:437.25pt;mso-position-horizontal:left;mso-position-horizontal-relative:margin;mso-wrap-distance-bottom:3.6pt;mso-wrap-distance-top:3.6pt;z-index:251662336;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">
            <v:path/>
            <v:fill focussize="0,0"/>
            <v:stroke joinstyle="miter"/>
            <v:imagedata o:title=""/>
            <o:lock v:ext="edit"/>
            <v:textbox>
              <w:txbxContent>
                <w:p>
                  <w:pPr>
                    <w:spacing w:line="400" w:lineRule="exact"/>
                    <w:ind w:firstLine="480"/>
                    <w:jc w:val="center"/>
                    <w:rPr>
                      <w:rFonts w:ascii="方正黑体_GBK" w:eastAsia="方正黑体_GBK"/>
                      <w:sz w:val="24"/>
                      <w:szCs w:val="24"/>
                    </w:rPr>
                  </w:pPr>
                  <w:r>
                    <w:rPr>
                      <w:rFonts w:hint="eastAsia" w:ascii="方正黑体_GBK" w:eastAsia="方正黑体_GBK"/>
                      <w:sz w:val="24"/>
                      <w:szCs w:val="24"/>
                    </w:rPr>
                    <w:t>大运河国家文化公园无锡建设保护区“两园三带十五点”空间布局</w:t>
                  </w:r>
                </w:p>
                <w:p>
                  <w:pPr>
                    <w:spacing w:line="400" w:lineRule="exact"/>
                    <w:ind w:firstLine="480"/>
                    <w:rPr>
                      <w:sz w:val="24"/>
                      <w:szCs w:val="24"/>
                    </w:rPr>
                  </w:pP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两园：清名桥核心展示园、惠山古镇核心展示园。</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三带：吴桥—江尖大桥集中展示带、无锡环城古运河集中展示带、南禅寺—南水仙庙集中展示带。</w:t>
                  </w:r>
                </w:p>
                <w:p>
                  <w:pPr>
                    <w:spacing w:line="40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十五点：中国民族工商业博物馆（茂新面粉厂）、北仓门蚕丝仓库、无锡县商会旧址、黄埠墩（古芙蓉湖）、西水墩、梁溪河（荣巷、梅园、犊山枢纽）、南禅寺（业勤苑、永泰丝厂旧址）、接官亭弄、学前街（钱钟书故居、顾毓琇纪念馆、张闻天旧居、薛福成故居）、小娄巷（东林书院、秦邦宪旧居）、运河公园（周怀民藏画馆、民族音乐博物馆、何振梁与奥林匹克陈列馆）、无锡国家数字电影产业园、伯渎港（泰伯庙和墓、梅里古镇、鸿山遗址）、开源机器厂旧址（无锡市运河外滩）、无锡县柴油机厂旧址。</w:t>
                  </w:r>
                </w:p>
              </w:txbxContent>
            </v:textbox>
            <w10:wrap type="topAndBottom"/>
          </v:shape>
        </w:pic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35" w:name="_Toc66870220"/>
      <w:bookmarkStart w:id="136" w:name="_Toc56155340"/>
      <w:bookmarkStart w:id="137" w:name="_Toc55236668"/>
      <w:bookmarkStart w:id="138" w:name="_Toc59723814"/>
      <w:r>
        <w:rPr>
          <w:rFonts w:ascii="Times New Roman" w:hAnsi="Times New Roman" w:eastAsia="方正楷体_GBK" w:cs="Times New Roman"/>
          <w:bCs/>
          <w:color w:val="000000" w:themeColor="text1"/>
          <w:szCs w:val="32"/>
        </w:rPr>
        <w:t>第三节  提升公共文化服务水平</w:t>
      </w:r>
      <w:bookmarkEnd w:id="135"/>
      <w:bookmarkEnd w:id="136"/>
      <w:bookmarkEnd w:id="137"/>
      <w:bookmarkEnd w:id="138"/>
    </w:p>
    <w:p>
      <w:pPr>
        <w:ind w:firstLine="640"/>
        <w:rPr>
          <w:rFonts w:hAnsi="Times New Roman" w:cs="Times New Roman"/>
          <w:color w:val="000000" w:themeColor="text1"/>
        </w:rPr>
      </w:pPr>
      <w:r>
        <w:rPr>
          <w:rFonts w:hint="eastAsia" w:hAnsi="Times New Roman" w:cs="Times New Roman"/>
          <w:color w:val="000000" w:themeColor="text1"/>
        </w:rPr>
        <w:t>坚持为人民服务、为社会主义服务的方向，坚持百花齐放、百家争鸣的基本方针，提高公共文化服务规模质量，让全市人民共享更丰富、更高质量的精神文化生活。</w:t>
      </w:r>
    </w:p>
    <w:p>
      <w:pPr>
        <w:ind w:firstLine="640"/>
        <w:rPr>
          <w:rFonts w:hAnsi="Times New Roman" w:cs="Times New Roman"/>
          <w:color w:val="000000" w:themeColor="text1"/>
        </w:rPr>
      </w:pPr>
      <w:r>
        <w:rPr>
          <w:rFonts w:hint="eastAsia" w:hAnsi="Times New Roman" w:cs="Times New Roman"/>
          <w:color w:val="000000" w:themeColor="text1"/>
        </w:rPr>
        <w:t>健全公共文化服务体系。完善城乡公共文化服务体系，优化城乡文化资源配置，促进公共文化服务供需精准对接，鼓励社会力量参与公共文化服务体系建设。实施文化惠民工程，广泛开展文化科技卫生“三下乡”、高雅艺术宣传普及推广、文化志愿者进基层等公益文化活动，促进公共文化服务普惠化、均等化。创新“互联网+”公共文化服务，拓展线上公共文化服务主体和服务内容，推动公共文化数字资源覆盖各类终端用户。倡导全民阅读，提升公共阅读设施效能，加大阅读资源供给，推进“书香无锡”建设。到2025年，全民阅读指数达到80.0以上。</w:t>
      </w:r>
    </w:p>
    <w:p>
      <w:pPr>
        <w:ind w:firstLine="640"/>
        <w:rPr>
          <w:rFonts w:hAnsi="Times New Roman" w:cs="Times New Roman"/>
          <w:color w:val="000000" w:themeColor="text1"/>
        </w:rPr>
      </w:pPr>
      <w:r>
        <w:rPr>
          <w:rFonts w:hint="eastAsia" w:hAnsi="Times New Roman" w:cs="Times New Roman"/>
          <w:color w:val="000000" w:themeColor="text1"/>
        </w:rPr>
        <w:t>推进文化基础设施建设。规划布局新一轮文化设施，建设无锡美术馆、文化艺术中心等重点公共文化设施，规划建设一批特色鲜明、社会化运营的小剧场。组建城市博物馆联盟，建立全市文物陈列展览交流平台，完善提升各类场馆展陈、宣教、旅游和文创产品开发功能，形成更为完善的公共文化设施服务体系。推进“一街一品”社区特色文化建设，实现基层公共文化设施标准化、网络化、均等化全覆盖。推动公共文化设施免费开放、错时开放和延时开放，鼓励开展夜间主题服务。</w:t>
      </w:r>
    </w:p>
    <w:p>
      <w:pPr>
        <w:ind w:firstLine="640"/>
        <w:rPr>
          <w:rFonts w:hAnsi="Times New Roman" w:cs="Times New Roman"/>
          <w:color w:val="000000" w:themeColor="text1"/>
        </w:rPr>
      </w:pPr>
      <w:r>
        <w:rPr>
          <w:rFonts w:hint="eastAsia" w:hAnsi="Times New Roman" w:cs="Times New Roman"/>
          <w:color w:val="000000" w:themeColor="text1"/>
        </w:rPr>
        <w:t>加强公共文化精品创作。加大高质量公共文化产品创作和供给，创作具有时代精神、锡韵特色的优秀作品。实施文艺精品创作工程和作品质量提升工程，完善现实题材等重点文艺作品的扶持激励制度，激发各类文艺团体机构创作活力。实施高雅艺术普及工程，组建无锡市交响乐团，培育太湖画派、民族乐团等重点文艺品牌。优化群众特色文化团队小额资助机制，丰富基层公共文化供给。实施艺术人才引培工程，分层分类培养文化名家、文化英才、文化优青等文化人才队伍。</w:t>
      </w:r>
    </w:p>
    <w:p>
      <w:pPr>
        <w:ind w:firstLine="640"/>
        <w:rPr>
          <w:rFonts w:hAnsi="Times New Roman" w:cs="Times New Roman"/>
          <w:color w:val="000000" w:themeColor="text1"/>
        </w:rPr>
      </w:pPr>
      <w:r>
        <w:rPr>
          <w:rFonts w:hint="eastAsia" w:hAnsi="Times New Roman" w:cs="Times New Roman"/>
          <w:color w:val="000000" w:themeColor="text1"/>
        </w:rPr>
        <w:t>有序推进文化事业改革。完善文化管理体制，建立健全现代文化市场体系。以演出为中心环节，分类深化实施国有文艺院团改革，增强国有文艺院团市场化运营能力。加强市级新型主流媒体、县级融媒体中心建设，支持无锡广电集团、无锡报业集团打造走在全国前列的新型主流媒体。推动国有文化企业出资人与主管主办制度有效衔接，探索把各类经营性文化事业资产纳入国有文化资产监管范围。深化文化市场综合执法改革，提高执法效能。</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39" w:name="_Toc55236669"/>
      <w:bookmarkStart w:id="140" w:name="_Toc56155341"/>
      <w:bookmarkStart w:id="141" w:name="_Toc59723815"/>
      <w:bookmarkStart w:id="142" w:name="_Toc66870221"/>
      <w:r>
        <w:rPr>
          <w:rFonts w:ascii="Times New Roman" w:hAnsi="Times New Roman" w:eastAsia="方正楷体_GBK" w:cs="Times New Roman"/>
          <w:bCs/>
          <w:color w:val="000000" w:themeColor="text1"/>
          <w:szCs w:val="32"/>
        </w:rPr>
        <w:t xml:space="preserve">第四节  </w:t>
      </w:r>
      <w:bookmarkEnd w:id="139"/>
      <w:bookmarkEnd w:id="140"/>
      <w:r>
        <w:rPr>
          <w:rFonts w:ascii="Times New Roman" w:hAnsi="Times New Roman" w:eastAsia="方正楷体_GBK" w:cs="Times New Roman"/>
          <w:bCs/>
          <w:color w:val="000000" w:themeColor="text1"/>
          <w:szCs w:val="32"/>
        </w:rPr>
        <w:t>推动文化产业发展</w:t>
      </w:r>
      <w:bookmarkEnd w:id="141"/>
      <w:bookmarkEnd w:id="142"/>
    </w:p>
    <w:p>
      <w:pPr>
        <w:ind w:firstLine="640"/>
        <w:rPr>
          <w:rFonts w:hAnsi="Times New Roman" w:cs="Times New Roman"/>
          <w:color w:val="000000" w:themeColor="text1"/>
        </w:rPr>
      </w:pPr>
      <w:r>
        <w:rPr>
          <w:rFonts w:hint="eastAsia" w:hAnsi="Times New Roman" w:cs="Times New Roman"/>
          <w:color w:val="000000" w:themeColor="text1"/>
        </w:rPr>
        <w:t>坚持把社会效益放在首位、实现社会效益和经济效益相统一，</w:t>
      </w:r>
      <w:r>
        <w:rPr>
          <w:rFonts w:hint="eastAsia" w:hAnsi="Times New Roman" w:cs="Times New Roman"/>
        </w:rPr>
        <w:t>构建现代文化产业体系，推动文化产业数字化发展，打造文商旅</w:t>
      </w:r>
      <w:r>
        <w:rPr>
          <w:rFonts w:hint="eastAsia" w:hAnsi="Times New Roman" w:cs="Times New Roman"/>
          <w:color w:val="000000" w:themeColor="text1"/>
        </w:rPr>
        <w:t>融合发展新高地。到2025年，全市文化产业增加值占地区生产总值比重达到5%以上。</w:t>
      </w:r>
    </w:p>
    <w:p>
      <w:pPr>
        <w:ind w:firstLine="640"/>
        <w:rPr>
          <w:rFonts w:hAnsi="Times New Roman" w:cs="Times New Roman"/>
          <w:color w:val="000000" w:themeColor="text1"/>
        </w:rPr>
      </w:pPr>
      <w:r>
        <w:rPr>
          <w:rFonts w:hint="eastAsia" w:hAnsi="Times New Roman" w:cs="Times New Roman"/>
          <w:color w:val="000000" w:themeColor="text1"/>
        </w:rPr>
        <w:t>鼓励发展新型文化业态。健全文化产业发展支撑体系，推动文化产业集聚发展，围绕影视传媒、创意设计、数字文化、文化制造等重点领域，加大文化重点项目招引力度，培育骨干文化企业，打造文化知名品牌，争创一批省级和国家级文化产业示范区。发展文化金融，深化省级文化金融试验区、特色文化金融机构、影视文化金融服务中心建设。到2025年，培育文化产业规模以上企业超过1000家，建设具有示范带动效应的重大文化项目100个，培育营业收入规模超过100亿元的文化产业集聚区2个。</w:t>
      </w:r>
    </w:p>
    <w:p>
      <w:pPr>
        <w:ind w:firstLine="640"/>
        <w:rPr>
          <w:rFonts w:hAnsi="Times New Roman" w:cs="Times New Roman"/>
          <w:color w:val="000000" w:themeColor="text1"/>
        </w:rPr>
      </w:pPr>
      <w:r>
        <w:rPr>
          <w:rFonts w:hint="eastAsia" w:hAnsi="Times New Roman" w:cs="Times New Roman"/>
          <w:color w:val="000000" w:themeColor="text1"/>
        </w:rPr>
        <w:t>大力发展数字文化业态。完善文化产业高质量发展政策，推动“文化+数字”“文化+科技”融合</w:t>
      </w:r>
      <w:r>
        <w:rPr>
          <w:rFonts w:hint="eastAsia" w:hAnsi="Times New Roman" w:cs="Times New Roman"/>
        </w:rPr>
        <w:t>发展</w:t>
      </w:r>
      <w:r>
        <w:rPr>
          <w:rFonts w:hint="eastAsia" w:hAnsi="Times New Roman" w:cs="Times New Roman"/>
          <w:color w:val="000000" w:themeColor="text1"/>
        </w:rPr>
        <w:t>，打造国家数字文化产业高地，争创国家级文化科技融合示范基地。建设完善电影产业工业化体系，依托无锡国家数字电影产业园，构建电影产业生态圈，推进国家电影产业创新实验区建设。做大做强数字内容产业，提高数字传媒、数字娱乐、数字出版、数字装备、网络视听等领域发展规模质量。推进国家文化出口基地建设，提升江苏国家数字出版基地无锡园区发展水平。到2025年，无锡国家数字电影产业园集聚电影制作及相关企业2000家以上，实现电影及相关产业产值超300亿元。</w:t>
      </w:r>
    </w:p>
    <w:p>
      <w:pPr>
        <w:ind w:firstLine="640"/>
        <w:rPr>
          <w:rFonts w:hAnsi="Times New Roman" w:cs="Times New Roman"/>
          <w:color w:val="000000" w:themeColor="text1"/>
        </w:rPr>
      </w:pPr>
      <w:r>
        <w:rPr>
          <w:rFonts w:hint="eastAsia" w:hAnsi="Times New Roman" w:cs="Times New Roman"/>
          <w:color w:val="000000" w:themeColor="text1"/>
        </w:rPr>
        <w:t>推进文商旅深度融合。推动“文化+旅游”“文化+商贸”提档升级，优化文商旅产业空间布局，围绕太湖山水、运河人家、吴韵古镇、游圣故里、陶都风情、江南田园、影视演艺等文化旅游资源，建设一批江南古镇古村、历史文化街区等文旅产业载体，重点发展“游食娱休养购”一体的文化休闲旅游，培育红色旅游、研学旅游、康养旅游、美食旅游、夜间旅游等新业态，争创国家文化产业和旅游产业融合发展示范区。举办文化旅游品牌节庆展会，办好中国（无锡）国际文化艺术产业博览交易会、太湖文化艺术季暨中国上海国际艺术节无锡分会场系列活动，培育江南古运河风情旅游节、中国无锡花灯艺术节等节庆活动，孵化打造“今夜梁宵”等特色品牌，争创国家级夜间文旅消费集聚区。健全旅游基础设施和集散体系，增强智慧文旅平台功能，提高监管服务水平，争创国家全域旅游示范区。</w:t>
      </w:r>
    </w:p>
    <w:p>
      <w:pPr>
        <w:ind w:firstLine="640"/>
        <w:rPr>
          <w:rFonts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43" w:name="_Toc56155342"/>
      <w:bookmarkStart w:id="144" w:name="_Toc55236670"/>
      <w:bookmarkStart w:id="145" w:name="_Toc66870222"/>
      <w:r>
        <w:rPr>
          <w:rFonts w:ascii="Times New Roman" w:hAnsi="Times New Roman" w:eastAsia="方正黑体_GBK" w:cs="Times New Roman"/>
          <w:bCs/>
          <w:color w:val="000000" w:themeColor="text1"/>
          <w:szCs w:val="32"/>
        </w:rPr>
        <w:t>第十三章  加强生态文明建设</w:t>
      </w:r>
      <w:bookmarkEnd w:id="143"/>
      <w:bookmarkEnd w:id="144"/>
      <w:bookmarkEnd w:id="145"/>
    </w:p>
    <w:p>
      <w:pPr>
        <w:ind w:firstLine="640"/>
        <w:rPr>
          <w:rFonts w:hAnsi="Times New Roman" w:cs="Times New Roman"/>
          <w:color w:val="000000" w:themeColor="text1"/>
        </w:rPr>
      </w:pPr>
      <w:r>
        <w:rPr>
          <w:rFonts w:hint="eastAsia" w:hAnsi="Times New Roman" w:cs="Times New Roman"/>
          <w:color w:val="000000" w:themeColor="text1"/>
        </w:rPr>
        <w:t>坚持绿水青山就是金山银山理念，围绕“美丽无锡”建设目标，深入打好污染防治攻坚战，完善生态文明体制机制，促进资源、环境、生态与经济、社会协调发展，建设人与自然和谐共生的现代化。</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46" w:name="_Toc56155343"/>
      <w:bookmarkStart w:id="147" w:name="_Toc66870223"/>
      <w:bookmarkStart w:id="148" w:name="_Toc55236671"/>
      <w:r>
        <w:rPr>
          <w:rFonts w:ascii="Times New Roman" w:hAnsi="Times New Roman" w:eastAsia="方正楷体_GBK" w:cs="Times New Roman"/>
          <w:bCs/>
          <w:color w:val="000000" w:themeColor="text1"/>
          <w:szCs w:val="32"/>
        </w:rPr>
        <w:t>第一节  促进长江经济带高质量发展</w:t>
      </w:r>
      <w:bookmarkEnd w:id="146"/>
      <w:bookmarkEnd w:id="147"/>
      <w:bookmarkEnd w:id="148"/>
    </w:p>
    <w:p>
      <w:pPr>
        <w:ind w:firstLine="640"/>
        <w:rPr>
          <w:rFonts w:hAnsi="Times New Roman" w:cs="Times New Roman"/>
          <w:color w:val="000000" w:themeColor="text1"/>
        </w:rPr>
      </w:pPr>
      <w:r>
        <w:rPr>
          <w:rFonts w:hint="eastAsia" w:hAnsi="Times New Roman" w:cs="Times New Roman"/>
          <w:color w:val="000000" w:themeColor="text1"/>
        </w:rPr>
        <w:t>深入贯彻长江经济带建设新要求，推动经济与生态互动共融，实现在发展中保护、在保护中发展。</w:t>
      </w:r>
    </w:p>
    <w:p>
      <w:pPr>
        <w:ind w:firstLine="640"/>
        <w:rPr>
          <w:rFonts w:hAnsi="Times New Roman" w:cs="Times New Roman"/>
          <w:color w:val="000000" w:themeColor="text1"/>
        </w:rPr>
      </w:pPr>
      <w:r>
        <w:rPr>
          <w:rFonts w:hint="eastAsia" w:hAnsi="Times New Roman" w:cs="Times New Roman"/>
          <w:color w:val="000000" w:themeColor="text1"/>
        </w:rPr>
        <w:t>持续保护修复长江生态环境。落实长江经济带“共抓大保护、不搞大开发”要求，统筹推进太湖生态保护圈、江阴长江生态安全示范区和宜兴生态保护引领区“一圈两区”建设。把修复长江生态环境摆在压倒性位置，持续推进长江经济带生态环境污染治理“4+1”工程，加大力度治理长江岸线非法码头、非法采砂清理整顿、化工行业整治和农业面源污染，落实长江“十年禁渔”，改善长江生态环境和水域生态功能，提升沿江地区生态系统质量和稳定性。实施长江两岸及入江河道生态绿化、入湖入江排污口整治工程，推进滨江、滨水湿</w:t>
      </w:r>
      <w:r>
        <w:rPr>
          <w:rFonts w:hAnsi="Times New Roman" w:cs="Times New Roman"/>
          <w:color w:val="000000" w:themeColor="text1"/>
        </w:rPr>
        <w:t>地和</w:t>
      </w:r>
      <w:r>
        <w:rPr>
          <w:rFonts w:hint="eastAsia" w:hAnsi="Times New Roman" w:cs="Times New Roman"/>
          <w:color w:val="000000" w:themeColor="text1"/>
        </w:rPr>
        <w:t>生态廊道建设与森林公园、湿地公园、植树造林建设有机协同，打造最美滨江岸线。</w:t>
      </w:r>
    </w:p>
    <w:p>
      <w:pPr>
        <w:ind w:firstLine="640"/>
        <w:rPr>
          <w:rFonts w:hAnsi="Times New Roman" w:cs="Times New Roman"/>
          <w:color w:val="000000" w:themeColor="text1"/>
        </w:rPr>
      </w:pPr>
      <w:r>
        <w:rPr>
          <w:rFonts w:hint="eastAsia" w:hAnsi="Times New Roman" w:cs="Times New Roman"/>
          <w:color w:val="000000" w:themeColor="text1"/>
        </w:rPr>
        <w:t>持续推动沿江产业结构调整。强力推进重化工业整治提升，更大力度推动沿江重化产能转移，严禁在长江干支流1公里范围内新建扩建化工园区和化工项目。严格落实长江经济带发展负面清单指南，加大沿江产业结构调整力度，大力推动企业改造提升，坚决淘汰低端落后产能，培育节能环保、资源循环利用、清洁能源、清洁生产等绿色产业，实现沿江地区产业转型升级。</w:t>
      </w:r>
    </w:p>
    <w:p>
      <w:pPr>
        <w:ind w:firstLine="640"/>
        <w:rPr>
          <w:rFonts w:hAnsi="Times New Roman" w:cs="Times New Roman"/>
          <w:color w:val="000000" w:themeColor="text1"/>
        </w:rPr>
      </w:pPr>
      <w:r>
        <w:rPr>
          <w:rFonts w:hint="eastAsia" w:hAnsi="Times New Roman" w:cs="Times New Roman"/>
          <w:color w:val="000000" w:themeColor="text1"/>
        </w:rPr>
        <w:t>推动长江经济带协同联动发展。加快沿江地区综合交通运输体系建设，支持无锡（江阴）港融入长江岸线资源利用与港口物流战略联盟。发挥无锡先进制造业和科技创新优势，联合长江上中游城市共同提高产业科技创新能力，协同推动生态环境、基础设施、公共服务实现共建共享。保护传承弘扬长江文化，加大沿江地区文物和文化遗产保护力度。加强全方位对外开放，融入全省打造长江经济带上的“</w:t>
      </w:r>
      <w:bookmarkStart w:id="224" w:name="_GoBack"/>
      <w:r>
        <w:rPr>
          <w:rFonts w:hint="eastAsia" w:hAnsi="Times New Roman" w:cs="Times New Roman"/>
          <w:color w:val="000000" w:themeColor="text1"/>
        </w:rPr>
        <w:t>一带一路</w:t>
      </w:r>
      <w:bookmarkEnd w:id="224"/>
      <w:r>
        <w:rPr>
          <w:rFonts w:hint="eastAsia" w:hAnsi="Times New Roman" w:cs="Times New Roman"/>
          <w:color w:val="000000" w:themeColor="text1"/>
        </w:rPr>
        <w:t>”</w:t>
      </w:r>
      <w:r>
        <w:rPr>
          <w:rFonts w:hint="eastAsia" w:hAnsi="Times New Roman" w:cs="Times New Roman"/>
          <w:color w:val="000000" w:themeColor="text1"/>
          <w:lang w:val="en-US" w:eastAsia="zh-CN"/>
        </w:rPr>
        <w:t>倡议</w:t>
      </w:r>
      <w:r>
        <w:rPr>
          <w:rFonts w:hint="eastAsia" w:hAnsi="Times New Roman" w:cs="Times New Roman"/>
          <w:color w:val="000000" w:themeColor="text1"/>
        </w:rPr>
        <w:t>支点建设。</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49" w:name="_Toc56155344"/>
      <w:bookmarkStart w:id="150" w:name="_Toc55236672"/>
      <w:bookmarkStart w:id="151" w:name="_Toc66870224"/>
      <w:r>
        <w:rPr>
          <w:rFonts w:ascii="Times New Roman" w:hAnsi="Times New Roman" w:eastAsia="方正楷体_GBK" w:cs="Times New Roman"/>
          <w:bCs/>
          <w:color w:val="000000" w:themeColor="text1"/>
          <w:szCs w:val="32"/>
        </w:rPr>
        <w:t>第二节  推动生态空间保护与修复</w:t>
      </w:r>
      <w:bookmarkEnd w:id="149"/>
      <w:bookmarkEnd w:id="150"/>
      <w:bookmarkEnd w:id="151"/>
    </w:p>
    <w:p>
      <w:pPr>
        <w:ind w:firstLine="640"/>
        <w:rPr>
          <w:rFonts w:hAnsi="Times New Roman" w:cs="Times New Roman"/>
          <w:color w:val="000000" w:themeColor="text1"/>
        </w:rPr>
      </w:pPr>
      <w:r>
        <w:rPr>
          <w:rFonts w:hint="eastAsia" w:hAnsi="Times New Roman" w:cs="Times New Roman"/>
          <w:color w:val="000000" w:themeColor="text1"/>
        </w:rPr>
        <w:t>坚持尊重自然、顺应自然、保护自然，加强全域全要素管控，持续推进生态修复，守住自然生态安全边界。到2025年，森林覆盖率、建成区绿化覆盖率分别达到21.3%、43.5%，自然湿地保护率达到62%，人均公园绿地面积达到15平方米以上，城市公园绿地500米服务半径覆盖率大于90%。</w:t>
      </w:r>
    </w:p>
    <w:p>
      <w:pPr>
        <w:ind w:firstLine="640"/>
        <w:rPr>
          <w:rFonts w:hAnsi="Times New Roman" w:cs="Times New Roman"/>
          <w:color w:val="000000" w:themeColor="text1"/>
        </w:rPr>
      </w:pPr>
      <w:r>
        <w:rPr>
          <w:rFonts w:hint="eastAsia" w:hAnsi="Times New Roman" w:cs="Times New Roman"/>
          <w:color w:val="000000" w:themeColor="text1"/>
        </w:rPr>
        <w:t>加强生态空间管控。严守生态保护红线、永久基本农田、城镇开发边界三条控制线，落实“三线一单”生态环境分区管控要求</w:t>
      </w:r>
      <w:r>
        <w:rPr>
          <w:rFonts w:hAnsi="Times New Roman" w:cs="Times New Roman"/>
          <w:color w:val="000000" w:themeColor="text1"/>
        </w:rPr>
        <w:t>，</w:t>
      </w:r>
      <w:r>
        <w:rPr>
          <w:rFonts w:hint="eastAsia" w:hAnsi="Times New Roman" w:cs="Times New Roman"/>
          <w:color w:val="000000" w:themeColor="text1"/>
        </w:rPr>
        <w:t>严格保护生态红线区域，切实维护生态安全。提高耕地、永久基本农田、矿产、森林、湿地等自然资源保护水平，提升河湖水面率，加快修复水生态。稳步开展自然资源调查监测和确权登记，建立以自然保护区、地质公园、森林公园、湿地公园等为主体的自然保护地体系，筑牢生态安全屏障。加强自然保护地内人类活动监控监测，持续开展“绿盾”专项行动。到2025年，全市自然保护地面积占陆域国土面积比例达到省定目标，国家级生态保护红线面积不低于673.05平方公里。</w:t>
      </w:r>
    </w:p>
    <w:p>
      <w:pPr>
        <w:ind w:firstLine="640"/>
        <w:rPr>
          <w:rFonts w:hAnsi="Times New Roman" w:cs="Times New Roman"/>
          <w:color w:val="000000" w:themeColor="text1"/>
        </w:rPr>
      </w:pPr>
      <w:r>
        <w:rPr>
          <w:rFonts w:hint="eastAsia" w:hAnsi="Times New Roman" w:cs="Times New Roman"/>
          <w:bCs/>
          <w:color w:val="000000" w:themeColor="text1"/>
        </w:rPr>
        <w:t>加强生态保护修复。</w:t>
      </w:r>
      <w:r>
        <w:rPr>
          <w:rFonts w:hint="eastAsia" w:hAnsi="Times New Roman" w:cs="Times New Roman"/>
          <w:color w:val="000000" w:themeColor="text1"/>
        </w:rPr>
        <w:t>以“山水林田湖草”综合保护修复为重点，推进林地、绿地、湿地、自然保护地“四地”共建，构筑绿色生态屏障。推进国土空间全域综合整治，开展农用地和建设用地整理、生态保护修复和公共空间治理，完成长江干流沿岸10公里范围内废弃露天矿山生态修复工程，推动宜兴“矿地融合”示范区建设。深入开展国土绿化行动和林业生态建设，健全林长制责任体系，修复环惠山、翠屏山、军嶂山等山体生态，完善城乡公园布局，优化公共休闲空间和城市绿道系统，新建长江桃花港、锡山嘉菱荡等一批生态绿肺，规划建设植物园，构建“10分钟公园绿地服务圈”。</w:t>
      </w:r>
      <w:r>
        <w:rPr>
          <w:rFonts w:hint="eastAsia" w:hAnsi="Times New Roman" w:cs="Times New Roman"/>
        </w:rPr>
        <w:t>实施太湖、长江、京杭大运河沿岸、城市近郊等生态安全缓冲区示范工程，推进生态安全缓冲区试点建设和滨水生态带修复试点工程建设。</w:t>
      </w:r>
      <w:r>
        <w:rPr>
          <w:rFonts w:hint="eastAsia" w:hAnsi="Times New Roman" w:cs="Times New Roman"/>
          <w:color w:val="000000" w:themeColor="text1"/>
        </w:rPr>
        <w:t>强化生物多样性保护，持续开展生物多样性调查。</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52" w:name="_Toc56155345"/>
      <w:bookmarkStart w:id="153" w:name="_Toc66870225"/>
      <w:bookmarkStart w:id="154" w:name="_Toc55236673"/>
      <w:r>
        <w:rPr>
          <w:rFonts w:ascii="Times New Roman" w:hAnsi="Times New Roman" w:eastAsia="方正楷体_GBK" w:cs="Times New Roman"/>
          <w:bCs/>
          <w:color w:val="000000" w:themeColor="text1"/>
          <w:szCs w:val="32"/>
        </w:rPr>
        <w:t>第三节  加强环境综合治理</w:t>
      </w:r>
      <w:bookmarkEnd w:id="152"/>
      <w:bookmarkEnd w:id="153"/>
      <w:bookmarkEnd w:id="154"/>
    </w:p>
    <w:p>
      <w:pPr>
        <w:ind w:firstLine="640"/>
        <w:rPr>
          <w:rFonts w:hAnsi="Times New Roman" w:cs="Times New Roman"/>
          <w:color w:val="000000" w:themeColor="text1"/>
        </w:rPr>
      </w:pPr>
      <w:r>
        <w:rPr>
          <w:rFonts w:hint="eastAsia" w:hAnsi="Times New Roman" w:cs="Times New Roman"/>
          <w:color w:val="000000" w:themeColor="text1"/>
        </w:rPr>
        <w:t>持续开展污染防治行动，推动实现生态环境质量根本性好转，打造“碧水城市”“低碳城市”“净土城市”“无废城市”。到2025年，重点水功能区水质达标率达到100%，地表水国省考断面水质优</w:t>
      </w:r>
      <w:r>
        <w:rPr>
          <w:rFonts w:hint="eastAsia" w:hAnsi="宋体" w:cs="宋体"/>
          <w:color w:val="000000" w:themeColor="text1"/>
        </w:rPr>
        <w:t>Ⅲ</w:t>
      </w:r>
      <w:r>
        <w:rPr>
          <w:rFonts w:hint="eastAsia" w:hAnsi="Times New Roman" w:cs="Times New Roman"/>
          <w:color w:val="000000" w:themeColor="text1"/>
        </w:rPr>
        <w:t>类比例达到90%以上，空气质量优良天数比率达到82%以上。</w:t>
      </w:r>
    </w:p>
    <w:p>
      <w:pPr>
        <w:ind w:firstLine="640"/>
        <w:rPr>
          <w:rFonts w:hAnsi="Times New Roman" w:cs="Times New Roman"/>
          <w:color w:val="000000" w:themeColor="text1"/>
        </w:rPr>
      </w:pPr>
      <w:r>
        <w:rPr>
          <w:rFonts w:hint="eastAsia" w:hAnsi="Times New Roman" w:cs="Times New Roman"/>
          <w:color w:val="000000" w:themeColor="text1"/>
        </w:rPr>
        <w:t>全面提升水环境质量。坚持水资源、水生态、水环境“三水统筹”，建设“美丽河湖”。严格落实“河（湖）长制”“断面长制”，持续推进重点流域水环境治理和江河湖库湿地生态保护治理。系统推进太湖新一轮治理，实施全口径总磷控制，提升工业和生活污水处理质效，有效削减农业和城镇面源污染。运用湖滨湿地、聚泥成岛、离岸设防、原位加压控藻等新技术，加强夏季监测预警、蓝藻打捞处置和调水清淤，推动太湖无锡水域水质持续改善、生态持续</w:t>
      </w:r>
      <w:r>
        <w:rPr>
          <w:rFonts w:hint="eastAsia" w:hAnsi="Times New Roman" w:cs="Times New Roman"/>
        </w:rPr>
        <w:t>恢复，打造世界级生态湖区。巩固黑臭水体治理成效，实施骨干河网畅流活水工程，稳步提高河道等水</w:t>
      </w:r>
      <w:r>
        <w:rPr>
          <w:rFonts w:hint="eastAsia" w:hAnsi="Times New Roman" w:cs="Times New Roman"/>
          <w:color w:val="000000" w:themeColor="text1"/>
        </w:rPr>
        <w:t>环境质量。加强饮用水水源地保护和管理，全面落实最严格的水资源管理制度，提高水资源集约安全利用水平，守住“确保饮用水安全、确保不发生大面积湖泛”底线。到2025年，太湖无锡水域水质总体稳定在</w:t>
      </w:r>
      <w:r>
        <w:rPr>
          <w:rFonts w:hint="eastAsia" w:hAnsi="宋体" w:cs="宋体"/>
          <w:color w:val="000000" w:themeColor="text1"/>
        </w:rPr>
        <w:t>Ⅳ</w:t>
      </w:r>
      <w:r>
        <w:rPr>
          <w:rFonts w:hint="eastAsia" w:hAnsi="Times New Roman" w:cs="Times New Roman"/>
          <w:color w:val="000000" w:themeColor="text1"/>
        </w:rPr>
        <w:t>类水平，13条主要入湖河流</w:t>
      </w:r>
      <w:r>
        <w:rPr>
          <w:rFonts w:hint="eastAsia" w:hAnsi="Times New Roman" w:cs="Times New Roman"/>
        </w:rPr>
        <w:t>水质</w:t>
      </w:r>
      <w:r>
        <w:rPr>
          <w:rFonts w:hint="eastAsia" w:hAnsi="Times New Roman" w:cs="Times New Roman"/>
          <w:color w:val="000000" w:themeColor="text1"/>
        </w:rPr>
        <w:t>全部达到或优于</w:t>
      </w:r>
      <w:r>
        <w:rPr>
          <w:rFonts w:hint="eastAsia" w:hAnsi="宋体" w:cs="宋体"/>
          <w:color w:val="000000" w:themeColor="text1"/>
        </w:rPr>
        <w:t>Ⅲ</w:t>
      </w:r>
      <w:r>
        <w:rPr>
          <w:rFonts w:hint="eastAsia" w:hAnsi="Times New Roman" w:cs="Times New Roman"/>
          <w:color w:val="000000" w:themeColor="text1"/>
        </w:rPr>
        <w:t>类标</w:t>
      </w:r>
      <w:r>
        <w:rPr>
          <w:rFonts w:hAnsi="Times New Roman" w:cs="Times New Roman"/>
          <w:color w:val="000000" w:themeColor="text1"/>
        </w:rPr>
        <w:t>准</w:t>
      </w:r>
      <w:r>
        <w:rPr>
          <w:rFonts w:hint="eastAsia" w:hAnsi="Times New Roman" w:cs="Times New Roman"/>
          <w:color w:val="000000" w:themeColor="text1"/>
        </w:rPr>
        <w:t>。</w:t>
      </w:r>
    </w:p>
    <w:p>
      <w:pPr>
        <w:ind w:firstLine="640"/>
        <w:rPr>
          <w:rFonts w:hAnsi="Times New Roman" w:cs="Times New Roman"/>
          <w:color w:val="000000" w:themeColor="text1"/>
        </w:rPr>
      </w:pPr>
      <w:r>
        <w:rPr>
          <w:rFonts w:hint="eastAsia" w:hAnsi="Times New Roman" w:cs="Times New Roman"/>
          <w:color w:val="000000" w:themeColor="text1"/>
        </w:rPr>
        <w:t>深化大气污染防治。严格落实空气质量“点位长制”，推动细颗粒物（PM</w:t>
      </w:r>
      <w:r>
        <w:rPr>
          <w:rFonts w:hint="eastAsia" w:hAnsi="Times New Roman" w:cs="Times New Roman"/>
          <w:color w:val="000000" w:themeColor="text1"/>
          <w:vertAlign w:val="subscript"/>
        </w:rPr>
        <w:t>2.5</w:t>
      </w:r>
      <w:r>
        <w:rPr>
          <w:rFonts w:hint="eastAsia" w:hAnsi="Times New Roman" w:cs="Times New Roman"/>
          <w:color w:val="000000" w:themeColor="text1"/>
        </w:rPr>
        <w:t>）和臭氧浓度“双减双控”，持续改善大气环境质量，基本消除重污染天气。加强臭氧污染防治，完善源头治理模式，实施“一行一策”“一企一策”精细化治理。实施重点行业超低排放改造工程，开展超低排放企业试点。推进“绿岛”建设试点，鼓励家具、汽车修理等行业污染工艺过程使用“共性工厂”，实现同类企业污染物集中处理。强化对移动源和面源污染防控，</w:t>
      </w:r>
      <w:r>
        <w:rPr>
          <w:rFonts w:hint="eastAsia" w:hAnsi="Times New Roman" w:cs="Times New Roman"/>
        </w:rPr>
        <w:t>推行</w:t>
      </w:r>
      <w:r>
        <w:rPr>
          <w:rFonts w:hint="eastAsia" w:hAnsi="Times New Roman" w:cs="Times New Roman"/>
          <w:color w:val="000000" w:themeColor="text1"/>
        </w:rPr>
        <w:t>机动车污染防治精细化管控，深化原油和成品油码头、船舶油气回收治理，细化扬尘防控标准，推进施工工地、城市道路、堆场、码头扬尘污染控制。加强大气治理区域协作和污染联合应对，开展大气污染联防联控，健全区域污染过程预警应急响应机制。到2025年，细颗粒物（PM</w:t>
      </w:r>
      <w:r>
        <w:rPr>
          <w:rFonts w:hint="eastAsia" w:hAnsi="Times New Roman" w:cs="Times New Roman"/>
          <w:color w:val="000000" w:themeColor="text1"/>
          <w:vertAlign w:val="subscript"/>
        </w:rPr>
        <w:t>2.5</w:t>
      </w:r>
      <w:r>
        <w:rPr>
          <w:rFonts w:hint="eastAsia" w:hAnsi="Times New Roman" w:cs="Times New Roman"/>
          <w:color w:val="000000" w:themeColor="text1"/>
        </w:rPr>
        <w:t>）年均浓度稳定在35微克/立方米以下。</w:t>
      </w:r>
    </w:p>
    <w:p>
      <w:pPr>
        <w:ind w:firstLine="640"/>
        <w:rPr>
          <w:rFonts w:hAnsi="Times New Roman" w:cs="Times New Roman"/>
          <w:color w:val="000000" w:themeColor="text1"/>
        </w:rPr>
      </w:pPr>
      <w:r>
        <w:rPr>
          <w:rFonts w:hint="eastAsia" w:hAnsi="Times New Roman" w:cs="Times New Roman"/>
          <w:color w:val="000000" w:themeColor="text1"/>
        </w:rPr>
        <w:t>提升土壤污染治理水平。加强土壤污染管控和地块安全利用，确保农用地和建设用地土壤环境安全得到全面保障。深入开展农用地土壤污染防治，严格落实分类管理，</w:t>
      </w:r>
      <w:r>
        <w:rPr>
          <w:rFonts w:hint="eastAsia" w:hAnsi="Times New Roman" w:cs="Times New Roman"/>
        </w:rPr>
        <w:t>持续推进化肥农药减</w:t>
      </w:r>
      <w:r>
        <w:rPr>
          <w:rFonts w:hAnsi="Times New Roman" w:cs="Times New Roman"/>
        </w:rPr>
        <w:t>量增效</w:t>
      </w:r>
      <w:r>
        <w:rPr>
          <w:rFonts w:hint="eastAsia" w:hAnsi="Times New Roman" w:cs="Times New Roman"/>
        </w:rPr>
        <w:t>，强化耕地累</w:t>
      </w:r>
      <w:r>
        <w:rPr>
          <w:rFonts w:hint="eastAsia" w:hAnsi="Times New Roman" w:cs="Times New Roman"/>
          <w:color w:val="000000" w:themeColor="text1"/>
        </w:rPr>
        <w:t>积污染风险监测监控。加大建设用地再开发利用联动监管力度，推动建立有效的联动监管机制，严格建设用地再开发利用准入管理。到2025年，受污染耕地、污染地块安全利用率达到90%以上。</w:t>
      </w:r>
    </w:p>
    <w:p>
      <w:pPr>
        <w:ind w:firstLine="640"/>
        <w:rPr>
          <w:rFonts w:hAnsi="Times New Roman" w:cs="Times New Roman"/>
          <w:color w:val="000000" w:themeColor="text1"/>
        </w:rPr>
      </w:pPr>
      <w:r>
        <w:rPr>
          <w:rFonts w:hint="eastAsia" w:hAnsi="Times New Roman" w:cs="Times New Roman"/>
          <w:color w:val="000000" w:themeColor="text1"/>
        </w:rPr>
        <w:t>提升固废危废处置能力。推动固体废弃物源头减量，加强固废处理处置设施建设，降低固废对城市环境的影响。构建一般工业固体废物全流程管理体系，建立健全以企业为主体的工业固体废物全过程环境污染防治责任制度。统筹推进生活垃圾、飞灰、餐厨废弃物、建筑垃圾等处置设施建设，建成锡东、惠联垃圾焚烧电厂提标扩容项目，实施惠联餐厨废弃物处置扩建、江阴飞灰填埋场三期扩建等工程，规划建设惠山飞灰填埋场二期项目。推进危险废弃物全生命周期监管，提升核与辐射安全监管能力，建立健全危险废弃物、医疗废弃物安全处置机制，基本建成分类化收集、无害化处理、资源化利用的处置体系。全面推进生活垃圾“四分类”，城市居住区推广“定时定点”投放模式。到2025年，全市生活垃圾分类实现全覆盖，餐厨废弃物处置率达到90%以上。</w:t>
      </w:r>
      <w:bookmarkStart w:id="155" w:name="_Toc55236674"/>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56" w:name="_Toc66870226"/>
      <w:r>
        <w:rPr>
          <w:rFonts w:ascii="Times New Roman" w:hAnsi="Times New Roman" w:eastAsia="方正楷体_GBK" w:cs="Times New Roman"/>
          <w:bCs/>
          <w:color w:val="000000" w:themeColor="text1"/>
          <w:szCs w:val="32"/>
        </w:rPr>
        <w:t>第四节  推进资源集约利用</w:t>
      </w:r>
      <w:bookmarkEnd w:id="155"/>
      <w:bookmarkEnd w:id="156"/>
    </w:p>
    <w:p>
      <w:pPr>
        <w:ind w:firstLine="640"/>
        <w:rPr>
          <w:rFonts w:hAnsi="Times New Roman" w:cs="Times New Roman"/>
          <w:color w:val="000000" w:themeColor="text1"/>
        </w:rPr>
      </w:pPr>
      <w:r>
        <w:rPr>
          <w:rFonts w:hint="eastAsia" w:hAnsi="Times New Roman" w:cs="Times New Roman"/>
          <w:color w:val="000000" w:themeColor="text1"/>
        </w:rPr>
        <w:t>加强资源环境承载能力刚性约束，健全资源总量管理和全面节约制度，提高资源集约节约利用效益。</w:t>
      </w:r>
    </w:p>
    <w:p>
      <w:pPr>
        <w:ind w:firstLine="640"/>
        <w:rPr>
          <w:rFonts w:hAnsi="Times New Roman" w:cs="Times New Roman"/>
          <w:color w:val="000000" w:themeColor="text1"/>
        </w:rPr>
      </w:pPr>
      <w:r>
        <w:rPr>
          <w:rFonts w:hint="eastAsia" w:hAnsi="Times New Roman" w:cs="Times New Roman"/>
          <w:color w:val="000000" w:themeColor="text1"/>
        </w:rPr>
        <w:t>提高国土资源节约集约和利用效率。完善建设用地总量和强度“双控”机制。统筹编制土地征收成片开发方案，依法开展土地征收，保障区域综合开发建设。划定全市产业用地控制线，留足产业高质量发展空间。严格执行工业用地出让综合评审机制，实施差别化供地模</w:t>
      </w:r>
      <w:r>
        <w:rPr>
          <w:rFonts w:hint="eastAsia" w:hAnsi="Times New Roman" w:cs="Times New Roman"/>
        </w:rPr>
        <w:t>式，实行“合同</w:t>
      </w:r>
      <w:r>
        <w:rPr>
          <w:rFonts w:hAnsi="Times New Roman" w:cs="Times New Roman"/>
        </w:rPr>
        <w:t>+协议</w:t>
      </w:r>
      <w:r>
        <w:rPr>
          <w:rFonts w:hint="eastAsia" w:hAnsi="Times New Roman" w:cs="Times New Roman"/>
        </w:rPr>
        <w:t>”监管制</w:t>
      </w:r>
      <w:r>
        <w:rPr>
          <w:rFonts w:hint="eastAsia" w:hAnsi="Times New Roman" w:cs="Times New Roman"/>
          <w:color w:val="000000" w:themeColor="text1"/>
        </w:rPr>
        <w:t>度，引导资源要素向优质产业项目集聚。推动产业用地复合利用，实施单建地下空间、结建地下空间、空中连廊等多种立体空间供应方式。盘活低效存量用地，深化工业企业资源利用绩效评价成果运用，</w:t>
      </w:r>
      <w:r>
        <w:rPr>
          <w:rFonts w:hint="eastAsia" w:hAnsi="Times New Roman" w:cs="Times New Roman"/>
        </w:rPr>
        <w:t>研究</w:t>
      </w:r>
      <w:r>
        <w:rPr>
          <w:rFonts w:hint="eastAsia" w:hAnsi="Times New Roman" w:cs="Times New Roman"/>
          <w:color w:val="000000" w:themeColor="text1"/>
        </w:rPr>
        <w:t>完善建设用地使用权转让、出租、抵押二级市场，实施差别化用地政策，激励引导多元化市场主体参与存量建设用地盘活利用。</w:t>
      </w:r>
    </w:p>
    <w:p>
      <w:pPr>
        <w:ind w:firstLine="640"/>
        <w:rPr>
          <w:rFonts w:hAnsi="Times New Roman" w:cs="Times New Roman"/>
          <w:color w:val="000000" w:themeColor="text1"/>
        </w:rPr>
      </w:pPr>
      <w:r>
        <w:rPr>
          <w:rFonts w:hint="eastAsia" w:hAnsi="Times New Roman" w:cs="Times New Roman"/>
          <w:color w:val="000000" w:themeColor="text1"/>
        </w:rPr>
        <w:t>严格水资源节约利用和保护。完善水资源总量和强度“双控”机制。严格实行区域用水总量和强度控制，科学制定区域年度用水计划、严格</w:t>
      </w:r>
      <w:r>
        <w:rPr>
          <w:rFonts w:hint="eastAsia" w:hAnsi="Times New Roman" w:cs="Times New Roman"/>
        </w:rPr>
        <w:t>执行用</w:t>
      </w:r>
      <w:r>
        <w:rPr>
          <w:rFonts w:hint="eastAsia" w:hAnsi="Times New Roman" w:cs="Times New Roman"/>
          <w:color w:val="000000" w:themeColor="text1"/>
        </w:rPr>
        <w:t>水定额，推动取水用水精细化、标准化管理，逐步建立节水评价机制。加强工业节水减排，严格</w:t>
      </w:r>
      <w:r>
        <w:rPr>
          <w:rFonts w:hint="eastAsia" w:hAnsi="Times New Roman" w:cs="Times New Roman"/>
        </w:rPr>
        <w:t>控制高耗水、高污染行业发展。开展节水科技攻关，推动企业实施节水技术改造和废水“近零排放”改造，强化用水大户节水监管。落实国家节水行动方案，加大节水载体创建力度，创新节水政策、制度、标准和机制。推进供水管网节水降损，加强农业节水增效，推进雨水、再生水等非常规水源开</w:t>
      </w:r>
      <w:r>
        <w:rPr>
          <w:rFonts w:hint="eastAsia" w:hAnsi="Times New Roman" w:cs="Times New Roman"/>
          <w:color w:val="000000" w:themeColor="text1"/>
        </w:rPr>
        <w:t>发利用，全面深化节水型社会建设。深入实施水效领跑者引领行动，广泛开展节水宣传教育，强化节水社会监督，建设国家级县域节水型社会。</w:t>
      </w:r>
    </w:p>
    <w:p>
      <w:pPr>
        <w:ind w:firstLine="640"/>
        <w:rPr>
          <w:rFonts w:hAnsi="Times New Roman" w:cs="Times New Roman"/>
          <w:color w:val="000000" w:themeColor="text1"/>
        </w:rPr>
      </w:pPr>
      <w:r>
        <w:rPr>
          <w:rFonts w:hint="eastAsia" w:hAnsi="Times New Roman" w:cs="Times New Roman"/>
          <w:color w:val="000000" w:themeColor="text1"/>
        </w:rPr>
        <w:t>提高能源利用效率。完善能源总量和强度“双控”机制，调整能源消费结构。实施煤炭消费减量替代，降低煤炭消费比重，推进35万千瓦及以上燃煤机组供热改造，逐步关停整合落后燃煤小热电和燃煤锅炉。完善新能源和替代能源标准，全力推动太阳能等新能源开发应用，提高非化石能源特别是可再生能源使用比重。完善固定资产投资项目节能审查制度，有序推动省级以上开发区实行区域能评。加强重点行业能源智慧化管理，实施节能改造和用能监测预警。实施重点用能单位“百千万”行动，开展中小企业节能诊断及节能监察，推动工业、商业、建筑、交通等领域重点企业开展节能技术改造。到2025年，单位地区生产总值能耗降幅累计达到8%。</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57" w:name="_Toc55236675"/>
      <w:bookmarkStart w:id="158" w:name="_Toc56155347"/>
      <w:bookmarkStart w:id="159" w:name="_Toc66870227"/>
      <w:r>
        <w:rPr>
          <w:rFonts w:ascii="Times New Roman" w:hAnsi="Times New Roman" w:eastAsia="方正楷体_GBK" w:cs="Times New Roman"/>
          <w:bCs/>
          <w:color w:val="000000" w:themeColor="text1"/>
          <w:szCs w:val="32"/>
        </w:rPr>
        <w:t>第五节  发展绿色经济</w:t>
      </w:r>
      <w:bookmarkEnd w:id="157"/>
      <w:bookmarkEnd w:id="158"/>
      <w:bookmarkEnd w:id="159"/>
    </w:p>
    <w:p>
      <w:pPr>
        <w:ind w:firstLine="640"/>
        <w:rPr>
          <w:rFonts w:hAnsi="Times New Roman" w:cs="Times New Roman"/>
          <w:color w:val="000000" w:themeColor="text1"/>
        </w:rPr>
      </w:pPr>
      <w:r>
        <w:rPr>
          <w:rFonts w:hint="eastAsia" w:hAnsi="Times New Roman" w:cs="Times New Roman"/>
          <w:color w:val="000000" w:themeColor="text1"/>
        </w:rPr>
        <w:t>以资源节约和环境友好为导向，以绿色技术创新为驱动，加快推动生产生活方式绿色化转型，建设绿色低碳循环发展的经济体系。</w:t>
      </w:r>
    </w:p>
    <w:p>
      <w:pPr>
        <w:ind w:firstLine="640"/>
        <w:rPr>
          <w:rFonts w:hAnsi="Times New Roman" w:cs="Times New Roman"/>
          <w:color w:val="000000" w:themeColor="text1"/>
        </w:rPr>
      </w:pPr>
      <w:r>
        <w:rPr>
          <w:rFonts w:hint="eastAsia" w:hAnsi="Times New Roman" w:cs="Times New Roman"/>
          <w:color w:val="000000" w:themeColor="text1"/>
        </w:rPr>
        <w:t>发展低碳经济。实施碳排放总量和强度“双控”，研究制定全市碳达峰、碳中和方案，加强非二氧化碳类温室气体控制，争取比全</w:t>
      </w:r>
      <w:r>
        <w:rPr>
          <w:rFonts w:hAnsi="Times New Roman" w:cs="Times New Roman"/>
          <w:color w:val="000000" w:themeColor="text1"/>
        </w:rPr>
        <w:t>省</w:t>
      </w:r>
      <w:r>
        <w:rPr>
          <w:rFonts w:hint="eastAsia" w:hAnsi="Times New Roman" w:cs="Times New Roman"/>
          <w:color w:val="000000" w:themeColor="text1"/>
        </w:rPr>
        <w:t>全国提前实现碳达峰、碳中和。推进大气污染物和温室气体协同减排，促进融合管控，实现排放单位监管、排污许可制度、减排措施三者有机融合。推动太湖湾科技创新带建设碳中和先行示范区，加快新能源推广应用，鼓励企业逐步增加绿电采购和消费，逐步实现公共交通车辆100%电气化。加强应对气候变化基础统计和温室气体排放统计核算，积极参与全国碳排放交易市场建设，培育碳交易、碳资产管理服务公司，建设零碳园区、零碳工厂，争取开展国家低碳城市试点。</w:t>
      </w:r>
    </w:p>
    <w:p>
      <w:pPr>
        <w:ind w:firstLine="640"/>
        <w:rPr>
          <w:rFonts w:hAnsi="Times New Roman" w:cs="Times New Roman"/>
          <w:color w:val="000000" w:themeColor="text1"/>
        </w:rPr>
      </w:pPr>
      <w:r>
        <w:rPr>
          <w:rFonts w:hint="eastAsia" w:hAnsi="Times New Roman" w:cs="Times New Roman"/>
          <w:color w:val="000000" w:themeColor="text1"/>
        </w:rPr>
        <w:t>发展循环经济。加强绿色制造体系建设，创建绿色园区和绿色工厂。持续实施园区绿色化循环化改造工程，推进企业循环式生产、园区循环化改造、产业循环型组合，新增一批省级绿色循环发展示范区，创建国家绿色产业示范基地。开展绿色企业培育行动，加强绿色制造关键核心技术攻关，推进中小企业清洁生产，促进企业绿色发展。推行生产者责任延伸制度，构建线上线下融合的废旧资源回收和循环利用体系，推进新能源汽车动力蓄电池回收利用试点，加强建筑垃圾、塑料制品、餐厨废弃物等无害化处置及资源化利用。提高秸秆综合利用水平，支持宜兴等有条件的地区创建中央农作物秸秆综合利用重点县。围绕垃圾分类收运体系与再生资源回收系统“两网融合”，实施大宗固体废弃物循环综合利用工程，加快江阴秦望山、惠山等国家资源循环利用基地建设，共同打造环太湖城乡有机废弃物处理利用示范区。</w:t>
      </w:r>
    </w:p>
    <w:p>
      <w:pPr>
        <w:ind w:firstLine="640"/>
        <w:rPr>
          <w:rFonts w:hAnsi="Times New Roman" w:cs="Times New Roman"/>
          <w:color w:val="000000" w:themeColor="text1"/>
        </w:rPr>
      </w:pPr>
      <w:r>
        <w:rPr>
          <w:rFonts w:hint="eastAsia" w:hAnsi="Times New Roman" w:cs="Times New Roman"/>
          <w:color w:val="000000" w:themeColor="text1"/>
        </w:rPr>
        <w:t>倡导绿色低碳生活方式。提高绿色产品供给水平，完善绿色消费政策体系。深入实施绿色建筑创建行动，推行装配化装修，推广绿色建材。开</w:t>
      </w:r>
      <w:r>
        <w:rPr>
          <w:rFonts w:hAnsi="Times New Roman" w:cs="Times New Roman"/>
          <w:color w:val="000000" w:themeColor="text1"/>
        </w:rPr>
        <w:t>展</w:t>
      </w:r>
      <w:r>
        <w:rPr>
          <w:rFonts w:hint="eastAsia" w:hAnsi="Times New Roman" w:cs="Times New Roman"/>
          <w:color w:val="000000" w:themeColor="text1"/>
        </w:rPr>
        <w:t>省</w:t>
      </w:r>
      <w:r>
        <w:rPr>
          <w:rFonts w:hAnsi="Times New Roman" w:cs="Times New Roman"/>
          <w:color w:val="000000" w:themeColor="text1"/>
        </w:rPr>
        <w:t>级</w:t>
      </w:r>
      <w:r>
        <w:rPr>
          <w:rFonts w:hint="eastAsia" w:hAnsi="Times New Roman" w:cs="Times New Roman"/>
          <w:color w:val="000000" w:themeColor="text1"/>
        </w:rPr>
        <w:t>绿色出行创建</w:t>
      </w:r>
      <w:r>
        <w:rPr>
          <w:rFonts w:hAnsi="Times New Roman" w:cs="Times New Roman"/>
          <w:color w:val="000000" w:themeColor="text1"/>
        </w:rPr>
        <w:t>行动</w:t>
      </w:r>
      <w:r>
        <w:rPr>
          <w:rFonts w:hint="eastAsia" w:hAnsi="Times New Roman" w:cs="Times New Roman"/>
          <w:color w:val="000000" w:themeColor="text1"/>
        </w:rPr>
        <w:t>，构建以公共交通为核心的生态绿色交通体系，</w:t>
      </w:r>
      <w:r>
        <w:rPr>
          <w:rFonts w:hAnsi="Times New Roman" w:cs="Times New Roman"/>
          <w:color w:val="000000" w:themeColor="text1"/>
        </w:rPr>
        <w:t>到</w:t>
      </w:r>
      <w:r>
        <w:rPr>
          <w:rFonts w:hint="eastAsia" w:hAnsi="Times New Roman" w:cs="Times New Roman"/>
          <w:color w:val="000000" w:themeColor="text1"/>
        </w:rPr>
        <w:t>2025年</w:t>
      </w:r>
      <w:r>
        <w:rPr>
          <w:rFonts w:hAnsi="Times New Roman" w:cs="Times New Roman"/>
          <w:color w:val="000000" w:themeColor="text1"/>
        </w:rPr>
        <w:t>，全市</w:t>
      </w:r>
      <w:r>
        <w:rPr>
          <w:rFonts w:hint="eastAsia" w:hAnsi="Times New Roman" w:cs="Times New Roman"/>
          <w:color w:val="000000" w:themeColor="text1"/>
        </w:rPr>
        <w:t>绿</w:t>
      </w:r>
      <w:r>
        <w:rPr>
          <w:rFonts w:hAnsi="Times New Roman" w:cs="Times New Roman"/>
          <w:color w:val="000000" w:themeColor="text1"/>
        </w:rPr>
        <w:t>色</w:t>
      </w:r>
      <w:r>
        <w:rPr>
          <w:rFonts w:hint="eastAsia" w:hAnsi="Times New Roman" w:cs="Times New Roman"/>
          <w:color w:val="000000" w:themeColor="text1"/>
        </w:rPr>
        <w:t>出</w:t>
      </w:r>
      <w:r>
        <w:rPr>
          <w:rFonts w:hAnsi="Times New Roman" w:cs="Times New Roman"/>
          <w:color w:val="000000" w:themeColor="text1"/>
        </w:rPr>
        <w:t>行</w:t>
      </w:r>
      <w:r>
        <w:rPr>
          <w:rFonts w:hint="eastAsia" w:hAnsi="Times New Roman" w:cs="Times New Roman"/>
          <w:color w:val="000000" w:themeColor="text1"/>
        </w:rPr>
        <w:t>比</w:t>
      </w:r>
      <w:r>
        <w:rPr>
          <w:rFonts w:hAnsi="Times New Roman" w:cs="Times New Roman"/>
          <w:color w:val="000000" w:themeColor="text1"/>
        </w:rPr>
        <w:t>例达到</w:t>
      </w:r>
      <w:r>
        <w:rPr>
          <w:rFonts w:hint="eastAsia" w:hAnsi="Times New Roman" w:cs="Times New Roman"/>
          <w:color w:val="000000" w:themeColor="text1"/>
        </w:rPr>
        <w:t>70</w:t>
      </w:r>
      <w:r>
        <w:rPr>
          <w:rFonts w:hAnsi="Times New Roman" w:cs="Times New Roman"/>
          <w:color w:val="000000" w:themeColor="text1"/>
        </w:rPr>
        <w:t>%以上</w:t>
      </w:r>
      <w:r>
        <w:rPr>
          <w:rFonts w:hint="eastAsia" w:hAnsi="Times New Roman" w:cs="Times New Roman"/>
          <w:color w:val="000000" w:themeColor="text1"/>
        </w:rPr>
        <w:t>。加大节约型机关和绿色学校、绿色社区、绿色商场创建力度，践行“光盘行动”，引导全社会形成简约适度、绿色低碳的生活方式。加大绿色产品首次推广使用力度，扩大政府绿色采购范围，鼓励企业自主开展绿色采购。</w:t>
      </w:r>
    </w:p>
    <w:p>
      <w:pPr>
        <w:ind w:firstLine="640"/>
        <w:rPr>
          <w:rFonts w:ascii="Times New Roman" w:hAnsi="Times New Roman" w:cs="Times New Roman"/>
          <w:color w:val="000000" w:themeColor="text1"/>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60" w:name="_Toc66870228"/>
      <w:bookmarkStart w:id="161" w:name="_Toc56155348"/>
      <w:bookmarkStart w:id="162" w:name="_Toc55236676"/>
      <w:r>
        <w:rPr>
          <w:rFonts w:ascii="Times New Roman" w:hAnsi="Times New Roman" w:eastAsia="方正楷体_GBK" w:cs="Times New Roman"/>
          <w:bCs/>
          <w:color w:val="000000" w:themeColor="text1"/>
          <w:szCs w:val="32"/>
        </w:rPr>
        <w:t>第六节  深化生态文明制度创新</w:t>
      </w:r>
      <w:bookmarkEnd w:id="160"/>
      <w:bookmarkEnd w:id="161"/>
      <w:bookmarkEnd w:id="162"/>
    </w:p>
    <w:p>
      <w:pPr>
        <w:ind w:firstLine="640"/>
        <w:rPr>
          <w:rFonts w:hAnsi="Times New Roman" w:cs="Times New Roman"/>
          <w:color w:val="000000" w:themeColor="text1"/>
        </w:rPr>
      </w:pPr>
      <w:r>
        <w:rPr>
          <w:rFonts w:hint="eastAsia" w:hAnsi="Times New Roman" w:cs="Times New Roman"/>
          <w:color w:val="000000" w:themeColor="text1"/>
        </w:rPr>
        <w:t>完善生态文明统筹协调机制，建立健全严格的生态监督体系和生态考核体系，推动体制机制创新，促进生态资源优势转化为经济发展优势，为生态文明建设提供有力的制度保障。</w:t>
      </w:r>
    </w:p>
    <w:p>
      <w:pPr>
        <w:ind w:firstLine="640"/>
        <w:rPr>
          <w:rFonts w:hAnsi="Times New Roman" w:cs="Times New Roman"/>
          <w:color w:val="000000" w:themeColor="text1"/>
        </w:rPr>
      </w:pPr>
      <w:r>
        <w:rPr>
          <w:rFonts w:hint="eastAsia" w:hAnsi="Times New Roman" w:cs="Times New Roman"/>
          <w:color w:val="000000" w:themeColor="text1"/>
        </w:rPr>
        <w:t>健全生态环境治理监管体系。健全领导干部任期生态文明建设责任体系，实行党政领导干部生态环境损害责任终身追究制。加强企业环境治理责任制建设，严格执行重点排污企业环境信息强制公开制度，构建以排污许可制为核心的固定污染源监管制度体系。完善生态环境领域地方性法律法规体系，加强环保公安联动执法，健全生态环境行政执法和刑事司法衔接机制。落实生态环境审判体制改革，加强生态环境民事、行政公益诉讼，完善司法服务保障机制。开展生态环境损害赔偿制度改革试点，探索建立生态环境损害赔偿责任风险基金，深化实施环境污染责任保险制度。加</w:t>
      </w:r>
      <w:r>
        <w:rPr>
          <w:rFonts w:hAnsi="Times New Roman" w:cs="Times New Roman"/>
          <w:color w:val="000000" w:themeColor="text1"/>
        </w:rPr>
        <w:t>强</w:t>
      </w:r>
      <w:r>
        <w:rPr>
          <w:rFonts w:hint="eastAsia" w:hAnsi="Times New Roman" w:cs="Times New Roman"/>
          <w:color w:val="000000" w:themeColor="text1"/>
        </w:rPr>
        <w:t>突出环境问题整改，压紧压实生态环境保护责任，强化源头治理，健全长效监管机制，切</w:t>
      </w:r>
      <w:r>
        <w:rPr>
          <w:rFonts w:hAnsi="Times New Roman" w:cs="Times New Roman"/>
          <w:color w:val="000000" w:themeColor="text1"/>
        </w:rPr>
        <w:t>实</w:t>
      </w:r>
      <w:r>
        <w:rPr>
          <w:rFonts w:hint="eastAsia" w:hAnsi="Times New Roman" w:cs="Times New Roman"/>
          <w:color w:val="000000" w:themeColor="text1"/>
        </w:rPr>
        <w:t>改善区域生态环境质量。实施生态环境治理全民行动，强化社会监督，提高公民环保素养。</w:t>
      </w:r>
    </w:p>
    <w:p>
      <w:pPr>
        <w:ind w:firstLine="640"/>
        <w:rPr>
          <w:rFonts w:hAnsi="Times New Roman" w:cs="Times New Roman"/>
          <w:color w:val="000000" w:themeColor="text1"/>
        </w:rPr>
      </w:pPr>
      <w:r>
        <w:rPr>
          <w:rFonts w:hint="eastAsia" w:hAnsi="Times New Roman" w:cs="Times New Roman"/>
          <w:color w:val="000000" w:themeColor="text1"/>
        </w:rPr>
        <w:t>完善环境监测监控体系。健全环境风险差异化动态管控体系，开展饮用水水源地、重要生态功能区环境风险评估和重点企业环境风险隐患排查。依托“感知环境、智慧环保”物联网应用平台，构建天地一体、省市县三级联网共享的生态环境监测监控网络，建设完善遥感监测、视频监控及无人机综合管控网络，建成生态环境大数据平台。提升基层环境监测监控基础能力，完善网格化环境监管体系。推动宜兴环保科技工业园建设，提升生态环境科研能力，加强生态环境保护基础性研究，强化关键技术创新研发和集成示范。</w:t>
      </w:r>
    </w:p>
    <w:p>
      <w:pPr>
        <w:ind w:firstLine="640"/>
        <w:rPr>
          <w:rFonts w:hAnsi="Times New Roman" w:cs="Times New Roman"/>
          <w:color w:val="000000" w:themeColor="text1"/>
        </w:rPr>
      </w:pPr>
      <w:r>
        <w:rPr>
          <w:rFonts w:hint="eastAsia" w:hAnsi="Times New Roman" w:cs="Times New Roman"/>
          <w:color w:val="000000" w:themeColor="text1"/>
        </w:rPr>
        <w:t>探索生态价值转化机制。完善生态补偿制度，探索建立市场化、多元化生态补偿机制，实施太湖流域跨地区生态保护补偿试点，参与建设长三角生态产品交易中心，创建国家绿色发展示范区。建立完善环境权益交易市场，积极参与区域水权、排污权、用能权、碳排放权等初始分配与跨区域交易制度建设，推行项目节能量交易和用能权有偿使用、交易制度，开展水权交易试点，推动有限资源能源和环境容量指标向重点行业企业流动。</w:t>
      </w:r>
    </w:p>
    <w:p>
      <w:pPr>
        <w:ind w:firstLine="640"/>
        <w:rPr>
          <w:rFonts w:hAnsi="Times New Roman" w:cs="Times New Roman"/>
          <w:color w:val="000000" w:themeColor="text1"/>
          <w:szCs w:val="22"/>
        </w:rPr>
      </w:pPr>
      <w:r>
        <w:rPr>
          <w:rFonts w:hAnsi="Times New Roman" w:cs="Times New Roman"/>
          <w:color w:val="000000" w:themeColor="text1"/>
          <w:szCs w:val="22"/>
        </w:rPr>
        <w:br w:type="page"/>
      </w:r>
    </w:p>
    <w:p>
      <w:pPr>
        <w:ind w:firstLine="0" w:firstLineChars="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63" w:name="_Toc55236677"/>
      <w:bookmarkStart w:id="164" w:name="_Toc66870229"/>
      <w:r>
        <w:rPr>
          <w:rFonts w:ascii="Times New Roman" w:hAnsi="Times New Roman" w:eastAsia="方正黑体_GBK" w:cs="Times New Roman"/>
          <w:bCs/>
          <w:color w:val="000000" w:themeColor="text1"/>
          <w:szCs w:val="32"/>
        </w:rPr>
        <w:t xml:space="preserve">第十四章  </w:t>
      </w:r>
      <w:bookmarkEnd w:id="163"/>
      <w:r>
        <w:rPr>
          <w:rFonts w:ascii="Times New Roman" w:hAnsi="Times New Roman" w:eastAsia="方正黑体_GBK" w:cs="Times New Roman"/>
          <w:bCs/>
          <w:color w:val="000000" w:themeColor="text1"/>
          <w:szCs w:val="32"/>
        </w:rPr>
        <w:t>持续改善人民生活品质</w:t>
      </w:r>
      <w:bookmarkEnd w:id="164"/>
    </w:p>
    <w:p>
      <w:pPr>
        <w:ind w:firstLine="640"/>
        <w:rPr>
          <w:rFonts w:hAnsi="Times New Roman" w:cs="Times New Roman"/>
          <w:color w:val="000000" w:themeColor="text1"/>
          <w:szCs w:val="22"/>
        </w:rPr>
      </w:pPr>
      <w:r>
        <w:rPr>
          <w:rFonts w:hint="eastAsia" w:hAnsi="Times New Roman" w:cs="Times New Roman"/>
          <w:color w:val="000000" w:themeColor="text1"/>
          <w:szCs w:val="22"/>
        </w:rPr>
        <w:t>坚持把人民根本利益作为发展的出发点和落脚点，深入实施民生幸福工程，健全基本公共服务体系，提升优质公共服务产品供给能力水平，促进人的全面发展和社会全面进步。</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65" w:name="_Toc55236678"/>
      <w:bookmarkStart w:id="166" w:name="_Toc66870230"/>
      <w:r>
        <w:rPr>
          <w:rFonts w:ascii="Times New Roman" w:hAnsi="Times New Roman" w:eastAsia="方正楷体_GBK" w:cs="Times New Roman"/>
          <w:bCs/>
          <w:color w:val="000000" w:themeColor="text1"/>
          <w:szCs w:val="32"/>
        </w:rPr>
        <w:t>第一节  促进人口长期均衡发展</w:t>
      </w:r>
      <w:bookmarkEnd w:id="165"/>
      <w:bookmarkEnd w:id="166"/>
    </w:p>
    <w:p>
      <w:pPr>
        <w:ind w:firstLine="640"/>
        <w:rPr>
          <w:rFonts w:hAnsi="Times New Roman" w:cs="Times New Roman"/>
          <w:color w:val="000000" w:themeColor="text1"/>
          <w:szCs w:val="22"/>
        </w:rPr>
      </w:pPr>
      <w:r>
        <w:rPr>
          <w:rFonts w:hint="eastAsia" w:hAnsi="Times New Roman" w:cs="Times New Roman"/>
          <w:color w:val="000000" w:themeColor="text1"/>
          <w:szCs w:val="22"/>
        </w:rPr>
        <w:t>顺应人口发展规律和趋势，推动人口结构优化、社会融合、素质提升，保障各类群体合法权益，促进人口长期均衡发展与家庭和谐幸福。</w:t>
      </w:r>
    </w:p>
    <w:p>
      <w:pPr>
        <w:ind w:firstLine="640"/>
        <w:rPr>
          <w:rFonts w:hAnsi="Times New Roman" w:cs="Times New Roman"/>
          <w:color w:val="000000" w:themeColor="text1"/>
          <w:szCs w:val="22"/>
        </w:rPr>
      </w:pPr>
      <w:r>
        <w:rPr>
          <w:rFonts w:hint="eastAsia" w:hAnsi="Times New Roman" w:cs="Times New Roman"/>
          <w:color w:val="000000" w:themeColor="text1"/>
          <w:szCs w:val="22"/>
        </w:rPr>
        <w:t>持续优化人口结构。落实国家人口长期发展战略，增强生育政策包容性，提高优生优育服务水平。畅通社会性流动渠道，促进包容性就业创业增长，优化公共政策供给，加大人力资本投入，吸引高素质人才、年轻人流入。优化人口空间布局，科学引导人口有序流动，促进人口在新老城区、城镇乡村合理分布。完善人口决策服务机制，统筹人口规划、政策和服务管理，开展重大决策人口影响评估。</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加强人口精准服务管理。健全完善人口基础信息库，强化人口数据开发和开放利用，建立人口预测预报制度。构建涵盖常住人口的公共资源配置机制和社会治理长效机制，推动人口服务管理工作重心下移，提</w:t>
      </w:r>
      <w:r>
        <w:rPr>
          <w:rFonts w:hAnsi="Times New Roman" w:cs="Times New Roman"/>
          <w:color w:val="000000" w:themeColor="text1"/>
          <w:szCs w:val="22"/>
        </w:rPr>
        <w:t>高</w:t>
      </w:r>
      <w:r>
        <w:rPr>
          <w:rFonts w:hint="eastAsia" w:hAnsi="Times New Roman" w:cs="Times New Roman"/>
          <w:color w:val="000000" w:themeColor="text1"/>
          <w:szCs w:val="22"/>
        </w:rPr>
        <w:t>社区流动人口社会融合服务水平。深化户籍制度改革，优化以家庭迁移为导向的非户籍人口落户政策，促进有能力在锡稳定就业人口举家进城落户。持续放宽落户政策，市区全面放开高校和职业院校毕业生、留学归国人员及技术工人等群体落户，江阴、宜兴全面取消落户限制，实行</w:t>
      </w:r>
      <w:r>
        <w:rPr>
          <w:rFonts w:hint="eastAsia" w:hAnsi="Times New Roman" w:cs="Times New Roman"/>
          <w:bCs/>
          <w:color w:val="000000" w:themeColor="text1"/>
          <w:szCs w:val="22"/>
        </w:rPr>
        <w:t>长三角地区户籍准入年限同城化累计互认机制</w:t>
      </w:r>
      <w:r>
        <w:rPr>
          <w:rFonts w:hint="eastAsia" w:hAnsi="Times New Roman" w:cs="Times New Roman"/>
          <w:color w:val="000000" w:themeColor="text1"/>
          <w:szCs w:val="22"/>
        </w:rPr>
        <w:t>。落实外来人口居住证管理制度，健全非户籍人口市民化支持体系，完善财政转移支付和城镇新增建设用地规模与农业转移人口市民化挂钩政策，强化基本公共服务保障，促进农业转移人口市民化。</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家庭发展支持体系。增强家庭发展能力，完善落实以家庭为单位的税收、抚育、赡养、教育、住房等政策，大力发展家庭公共服务，提高家庭福利水平，促进家庭和谐幸福。加大母婴安全保障力度，推进市、涉农市（县）区妇幼保健院建设和妇幼健康服务机构标准化建设，开展全生命周期妇幼健康服务，做好0—6岁儿童健康管理。促进3岁以下婴幼儿照护服务事业发展，加快托育设施建设，发展普惠托育服务，规范开展家庭婴幼儿照护服务，降低生育、养育成本。到2025年，每个街道（镇）</w:t>
      </w:r>
      <w:r>
        <w:rPr>
          <w:rFonts w:hint="eastAsia" w:hAnsi="Times New Roman" w:cs="Times New Roman"/>
          <w:color w:val="000000" w:themeColor="text1"/>
          <w:szCs w:val="32"/>
        </w:rPr>
        <w:t>辖区内</w:t>
      </w:r>
      <w:r>
        <w:rPr>
          <w:rFonts w:hint="eastAsia" w:hAnsi="Times New Roman" w:cs="Times New Roman"/>
          <w:color w:val="000000" w:themeColor="text1"/>
          <w:szCs w:val="22"/>
        </w:rPr>
        <w:t>至少建成1家具有示范引领作用的婴幼儿照护服务机构。</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妇幼青年发展环境。坚持男女平等基本国策，促进妇女全面发展，保障儿童优先发展，创建儿童友好型城市。反对各种形式的性别歧视，保障妇女平等获得就学、就业、婚姻财产和参与社会事务的权利，加强妇女卫生保健、劳动保护、法律援助，严厉打击拐卖妇女儿童、暴力侵害妇女、弃婴等违法犯罪行为，推行残疾儿童融合教育。促进青年优先发展，培养青年勤学、修德、明辨、笃实的良好品质，全面支持青年毕业求职、创新创业、社会融入、婚恋交友、老人赡养、子女教育等领域需求，鼓励青少年更多参与志愿服务和社会公益活动，有效预防青少年犯罪。</w:t>
      </w:r>
    </w:p>
    <w:p>
      <w:pPr>
        <w:ind w:firstLine="640"/>
        <w:rPr>
          <w:rFonts w:ascii="Times New Roman" w:hAnsi="Times New Roman" w:cs="Times New Roman"/>
          <w:color w:val="000000" w:themeColor="text1"/>
          <w:szCs w:val="22"/>
        </w:rPr>
      </w:pPr>
    </w:p>
    <w:p>
      <w:pPr>
        <w:widowControl/>
        <w:ind w:firstLine="0" w:firstLineChars="0"/>
        <w:jc w:val="center"/>
        <w:outlineLvl w:val="2"/>
        <w:rPr>
          <w:rFonts w:ascii="Times New Roman" w:hAnsi="Times New Roman" w:eastAsia="方正楷体_GBK" w:cs="Times New Roman"/>
          <w:bCs/>
          <w:color w:val="000000" w:themeColor="text1"/>
          <w:szCs w:val="32"/>
        </w:rPr>
      </w:pPr>
      <w:bookmarkStart w:id="167" w:name="_Toc54457773"/>
      <w:bookmarkStart w:id="168" w:name="_Toc54815046"/>
      <w:bookmarkStart w:id="169" w:name="_Toc66870231"/>
      <w:r>
        <w:rPr>
          <w:rFonts w:ascii="Times New Roman" w:hAnsi="Times New Roman" w:eastAsia="方正楷体_GBK" w:cs="Times New Roman"/>
          <w:bCs/>
          <w:color w:val="000000" w:themeColor="text1"/>
          <w:szCs w:val="32"/>
        </w:rPr>
        <w:t xml:space="preserve">第二节  </w:t>
      </w:r>
      <w:bookmarkEnd w:id="167"/>
      <w:bookmarkEnd w:id="168"/>
      <w:r>
        <w:rPr>
          <w:rFonts w:ascii="Times New Roman" w:hAnsi="Times New Roman" w:eastAsia="方正楷体_GBK" w:cs="Times New Roman"/>
          <w:bCs/>
          <w:color w:val="000000" w:themeColor="text1"/>
          <w:szCs w:val="32"/>
        </w:rPr>
        <w:t>持续深化富民增收</w:t>
      </w:r>
      <w:bookmarkEnd w:id="169"/>
    </w:p>
    <w:p>
      <w:pPr>
        <w:ind w:firstLine="640"/>
        <w:rPr>
          <w:rFonts w:hAnsi="Times New Roman" w:cs="Times New Roman"/>
          <w:color w:val="000000" w:themeColor="text1"/>
          <w:szCs w:val="22"/>
        </w:rPr>
      </w:pPr>
      <w:r>
        <w:rPr>
          <w:rFonts w:hint="eastAsia" w:hAnsi="Times New Roman" w:cs="Times New Roman"/>
          <w:color w:val="000000" w:themeColor="text1"/>
          <w:szCs w:val="22"/>
        </w:rPr>
        <w:t>坚持把富民摆在更加突出的位置，实施共同富裕政策，不断激发劳动者的积极性、主动性和创造性，促进经济增长与居民增收互促共进，让市民群众生活更加富裕。到2025年，居民人均可支配收入增速与经济增长速度基本同步。</w:t>
      </w:r>
    </w:p>
    <w:p>
      <w:pPr>
        <w:ind w:firstLine="640"/>
        <w:rPr>
          <w:rFonts w:hAnsi="Times New Roman" w:cs="Times New Roman"/>
          <w:szCs w:val="22"/>
        </w:rPr>
      </w:pPr>
      <w:r>
        <w:rPr>
          <w:rFonts w:hint="eastAsia" w:hAnsi="Times New Roman" w:cs="Times New Roman"/>
          <w:color w:val="000000" w:themeColor="text1"/>
          <w:szCs w:val="22"/>
        </w:rPr>
        <w:t>多渠道增加居民收入。全面构建经济发展、就业充分与收入增长联动机制，促进劳动生产率与劳动报酬同步提高。完善工资决定、正常增长和支付保障机制，推动工资性收入与企业效益协同，稳步合理提高工资性收入。优化创新创业环境，着力发展民营经济，促进中小企业发展，提高居民经营性收入。丰富居民投资渠道，规范发展理财产品，完善股权、产权分红机制，提高居民财产性收入。健全知识、技术、管理、数据等要素由市场按贡献决定报酬机制，探索通过土地、资本等要素使用权、收益权增加要素收入。强化农民创业就业政策扶持，畅通农村资产资源资本化运</w:t>
      </w:r>
      <w:r>
        <w:rPr>
          <w:rFonts w:hint="eastAsia" w:hAnsi="Times New Roman" w:cs="Times New Roman"/>
          <w:szCs w:val="22"/>
        </w:rPr>
        <w:t>营渠道，</w:t>
      </w:r>
      <w:r>
        <w:rPr>
          <w:rFonts w:hint="eastAsia" w:hAnsi="仿宋" w:cs="Times New Roman"/>
          <w:szCs w:val="22"/>
        </w:rPr>
        <w:t>加强高素质农民培育和农民职业技能培训，</w:t>
      </w:r>
      <w:r>
        <w:rPr>
          <w:rFonts w:hint="eastAsia" w:hAnsi="Times New Roman" w:cs="Times New Roman"/>
          <w:szCs w:val="22"/>
        </w:rPr>
        <w:t>提高农村居民收入，推动农民收入十年实现倍增。</w:t>
      </w:r>
    </w:p>
    <w:p>
      <w:pPr>
        <w:ind w:firstLine="640"/>
        <w:rPr>
          <w:rFonts w:hAnsi="Times New Roman" w:cs="Times New Roman"/>
          <w:color w:val="000000" w:themeColor="text1"/>
          <w:szCs w:val="22"/>
        </w:rPr>
      </w:pPr>
      <w:r>
        <w:rPr>
          <w:rFonts w:hint="eastAsia" w:hAnsi="Times New Roman" w:cs="Times New Roman"/>
          <w:color w:val="000000" w:themeColor="text1"/>
          <w:szCs w:val="22"/>
        </w:rPr>
        <w:t>提高中等收入群体比重。坚持按劳分配为主体、多种分配方式并存，制定实施差别化的收入分配激励政策，加快形成合理有序的收入分配格局。支持技能人才、新型职业农民、科研人员、小微创业者、企业经济管理人员等群体勤劳守法致富，促使更多普遍劳动者通过自身努力进入中等收入群体。鼓励支持企业增加劳动者特别是一线劳动者报酬，提高劳动者报酬在初次分配中的比重。完善企业薪酬调查和信息发布机制，健全企业工资集体协商制度，落实最低工资标准。推进市属高校、科研院所薪酬制度改革，扩大工资分配自主权。落实税收调节政策措施，合理调节过高收入，取缔非法收入，降低中低收入群体税收负担。健全社会保障、转移支付等再分配调节机制，提高相对贫困群体收入水平。重视发挥第三次分配作用，支持慈善等公益事业发展。</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0" w:name="_Toc66870232"/>
      <w:r>
        <w:rPr>
          <w:rFonts w:ascii="Times New Roman" w:hAnsi="Times New Roman" w:eastAsia="方正楷体_GBK" w:cs="Times New Roman"/>
          <w:bCs/>
          <w:color w:val="000000" w:themeColor="text1"/>
          <w:szCs w:val="32"/>
        </w:rPr>
        <w:t>第三节  实现更加充分更高质量就业</w:t>
      </w:r>
      <w:bookmarkEnd w:id="170"/>
    </w:p>
    <w:p>
      <w:pPr>
        <w:ind w:firstLine="640"/>
        <w:rPr>
          <w:rFonts w:hAnsi="仿宋" w:cs="Times New Roman"/>
          <w:color w:val="000000" w:themeColor="text1"/>
          <w:szCs w:val="22"/>
        </w:rPr>
      </w:pPr>
      <w:r>
        <w:rPr>
          <w:rFonts w:hint="eastAsia" w:hAnsi="仿宋" w:cs="Times New Roman"/>
          <w:color w:val="000000" w:themeColor="text1"/>
          <w:szCs w:val="22"/>
        </w:rPr>
        <w:t>坚持就业优先，实施高质量就业促进行动，千方百计稳定和扩大就业，全力促进就业创业，打造更加充分更高质量就业示范城市。到2025年，城镇累计新增就业人数60万人。</w:t>
      </w:r>
    </w:p>
    <w:p>
      <w:pPr>
        <w:ind w:firstLine="640"/>
        <w:rPr>
          <w:rFonts w:hAnsi="仿宋" w:cs="Times New Roman"/>
          <w:color w:val="000000" w:themeColor="text1"/>
          <w:szCs w:val="22"/>
        </w:rPr>
      </w:pPr>
      <w:r>
        <w:rPr>
          <w:rFonts w:hint="eastAsia" w:hAnsi="仿宋" w:cs="Times New Roman"/>
          <w:color w:val="000000" w:themeColor="text1"/>
          <w:szCs w:val="22"/>
        </w:rPr>
        <w:t>强化就业优先政策。加强就业政策与财税、产业、外贸、社保等政策协同，稳定扩大就业岗位供给。建立完善常态化援企稳岗帮</w:t>
      </w:r>
      <w:r>
        <w:rPr>
          <w:rFonts w:hint="eastAsia" w:hAnsi="仿宋" w:cs="Times New Roman"/>
          <w:szCs w:val="22"/>
        </w:rPr>
        <w:t>扶机制，强化阶段性政策与制度性安排相结合。</w:t>
      </w:r>
      <w:r>
        <w:rPr>
          <w:rFonts w:hint="eastAsia" w:hAnsi="仿宋" w:cs="Times New Roman"/>
          <w:color w:val="000000" w:themeColor="text1"/>
          <w:szCs w:val="22"/>
        </w:rPr>
        <w:t>发挥政府投资项目在扩大就业方面的示范带动作用，建立重大政策、重大项目建设带动就业影响评估机制。健全公共就业服务体系，加强重点企业跟踪服务和登记失业人员分级分类服务，提高就业精准服务效能。加大购买基本公共就业服务力度，提升市场化社会就业服务水平。加强就业需求调查和风险监测预警，防范化解规模性结构性失业风险。</w:t>
      </w:r>
    </w:p>
    <w:p>
      <w:pPr>
        <w:ind w:firstLine="640"/>
        <w:rPr>
          <w:rFonts w:hAnsi="仿宋" w:cs="Times New Roman"/>
          <w:color w:val="000000" w:themeColor="text1"/>
          <w:szCs w:val="22"/>
        </w:rPr>
      </w:pPr>
      <w:r>
        <w:rPr>
          <w:rFonts w:hint="eastAsia" w:hAnsi="仿宋" w:cs="Times New Roman"/>
          <w:color w:val="000000" w:themeColor="text1"/>
          <w:szCs w:val="22"/>
        </w:rPr>
        <w:t>促进多渠道就业创业。充分发挥民营企业、中小微企业吸纳就业的主渠道作用，鼓励发展新个体经济，扩大就业容量。大力发展新产</w:t>
      </w:r>
      <w:r>
        <w:rPr>
          <w:rFonts w:hint="eastAsia" w:hAnsi="仿宋" w:cs="Times New Roman"/>
          <w:szCs w:val="22"/>
        </w:rPr>
        <w:t>业新技术新业态新模式，催生更多吸纳就业的市场主体，拓展就业创业空间。实施全民创业行动计划，推动创业带动就业，更大力度促进创业扶持资金和政策落地，降低创业门槛和成本，鼓励更多劳动者创业创新。健全就业创业培训制度，提高创新创业载体平台服务功能，促进优秀创业项目向实体转化，持续打造“创响无锡”特色品牌，推进创业大学建设，营造良好的创新创业生态</w:t>
      </w:r>
      <w:r>
        <w:rPr>
          <w:rFonts w:hint="eastAsia" w:hAnsi="仿宋" w:cs="Times New Roman"/>
          <w:color w:val="000000" w:themeColor="text1"/>
          <w:szCs w:val="22"/>
        </w:rPr>
        <w:t>。</w:t>
      </w:r>
    </w:p>
    <w:p>
      <w:pPr>
        <w:ind w:firstLine="640"/>
        <w:rPr>
          <w:rFonts w:hAnsi="仿宋" w:cs="Times New Roman"/>
          <w:color w:val="000000" w:themeColor="text1"/>
          <w:szCs w:val="22"/>
        </w:rPr>
      </w:pPr>
      <w:r>
        <w:rPr>
          <w:rFonts w:hint="eastAsia" w:hAnsi="仿宋" w:cs="Times New Roman"/>
          <w:bCs/>
          <w:color w:val="000000" w:themeColor="text1"/>
          <w:szCs w:val="22"/>
        </w:rPr>
        <w:t>推动重点群体就业。</w:t>
      </w:r>
      <w:r>
        <w:rPr>
          <w:rFonts w:hint="eastAsia" w:hAnsi="仿宋" w:cs="Times New Roman"/>
          <w:color w:val="000000" w:themeColor="text1"/>
          <w:szCs w:val="22"/>
        </w:rPr>
        <w:t>深入推进</w:t>
      </w:r>
      <w:r>
        <w:rPr>
          <w:rFonts w:hint="eastAsia" w:hAnsi="仿宋" w:cs="Times New Roman"/>
          <w:szCs w:val="22"/>
        </w:rPr>
        <w:t>高校毕业生就业创业，创建全链条大学生就业环境最优城市。健全高校毕业生信息共享机制和实名制调查制度，落实大学生就业</w:t>
      </w:r>
      <w:r>
        <w:rPr>
          <w:rFonts w:hint="eastAsia" w:hAnsi="仿宋" w:cs="Times New Roman"/>
          <w:color w:val="000000" w:themeColor="text1"/>
          <w:szCs w:val="22"/>
        </w:rPr>
        <w:t>各项补贴政策。完善就业困难人员就业援助制度，优化困难对象认定办法和退出机制，加大公益性岗位开发力度，确保零就业家庭动态为零。加强退役军人岗位筹集，畅通安置渠道，促进退役军人就业创业，健全退役军人保障体系。</w:t>
      </w:r>
    </w:p>
    <w:p>
      <w:pPr>
        <w:ind w:firstLine="640"/>
        <w:rPr>
          <w:rFonts w:hAnsi="仿宋" w:cs="Times New Roman"/>
          <w:color w:val="000000" w:themeColor="text1"/>
          <w:szCs w:val="22"/>
        </w:rPr>
      </w:pPr>
      <w:r>
        <w:rPr>
          <w:rFonts w:hint="eastAsia" w:hAnsi="仿宋" w:cs="Times New Roman"/>
          <w:bCs/>
          <w:color w:val="000000" w:themeColor="text1"/>
          <w:szCs w:val="22"/>
        </w:rPr>
        <w:t>积极提高就业质量。</w:t>
      </w:r>
      <w:r>
        <w:rPr>
          <w:rFonts w:hint="eastAsia" w:hAnsi="仿宋" w:cs="Times New Roman"/>
          <w:color w:val="000000" w:themeColor="text1"/>
          <w:szCs w:val="22"/>
        </w:rPr>
        <w:t>实施大规模职业</w:t>
      </w:r>
      <w:r>
        <w:rPr>
          <w:rFonts w:hint="eastAsia" w:hAnsi="仿宋" w:cs="Times New Roman"/>
          <w:szCs w:val="22"/>
        </w:rPr>
        <w:t>技能提升行动，健全完善终身职业技能培训体系，缓解结构性就业矛盾。支持企业对在职职工开展技能提升培训和转岗培训，深化实施企业新型学徒制。构建和谐劳动关系，健全政府、工会、企业共同参与</w:t>
      </w:r>
      <w:r>
        <w:rPr>
          <w:rFonts w:hint="eastAsia" w:hAnsi="仿宋" w:cs="Times New Roman"/>
          <w:color w:val="000000" w:themeColor="text1"/>
          <w:szCs w:val="22"/>
        </w:rPr>
        <w:t>的劳动关系协调机制，建立健全新业态从业人员职业保障制度，保障农民工、灵活就业和新型就业群体权益。健全劳动人事争议仲裁案件多元处理机制，提升执法维权效能，保障企业和职工合法权益。深化工会改革创新，开展劳动关系和谐企业创建活动。加快新时代产业工人队伍建设改革，全面提升产业工人思想技能素质。</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1" w:name="_Toc55236680"/>
      <w:bookmarkStart w:id="172" w:name="_Toc66870233"/>
      <w:r>
        <w:rPr>
          <w:rFonts w:ascii="Times New Roman" w:hAnsi="Times New Roman" w:eastAsia="方正楷体_GBK" w:cs="Times New Roman"/>
          <w:bCs/>
          <w:color w:val="000000" w:themeColor="text1"/>
          <w:szCs w:val="32"/>
        </w:rPr>
        <w:t xml:space="preserve">第四节  </w:t>
      </w:r>
      <w:bookmarkEnd w:id="171"/>
      <w:r>
        <w:rPr>
          <w:rFonts w:ascii="Times New Roman" w:hAnsi="Times New Roman" w:eastAsia="方正楷体_GBK" w:cs="Times New Roman"/>
          <w:bCs/>
          <w:color w:val="000000" w:themeColor="text1"/>
          <w:szCs w:val="32"/>
        </w:rPr>
        <w:t>加快教育高质量发展</w:t>
      </w:r>
      <w:bookmarkEnd w:id="172"/>
    </w:p>
    <w:p>
      <w:pPr>
        <w:ind w:firstLine="640"/>
        <w:rPr>
          <w:rFonts w:hAnsi="Times New Roman" w:cs="Times New Roman"/>
          <w:color w:val="000000" w:themeColor="text1"/>
          <w:szCs w:val="22"/>
        </w:rPr>
      </w:pPr>
      <w:r>
        <w:rPr>
          <w:rFonts w:hint="eastAsia" w:hAnsi="Times New Roman" w:cs="Times New Roman"/>
          <w:color w:val="000000" w:themeColor="text1"/>
          <w:szCs w:val="22"/>
        </w:rPr>
        <w:t>坚持教育优先发展，统筹教育公平、教育质量和人口素质提升，提高优质教育资源供给能力水平，促进教育结构、学科专业结构、人才培养结构与经济社会发展需求相适应，建设现代化教育强市。</w:t>
      </w:r>
    </w:p>
    <w:p>
      <w:pPr>
        <w:ind w:firstLine="640"/>
        <w:rPr>
          <w:rFonts w:hAnsi="Times New Roman" w:cs="Times New Roman"/>
          <w:color w:val="000000" w:themeColor="text1"/>
          <w:szCs w:val="22"/>
        </w:rPr>
      </w:pPr>
      <w:r>
        <w:rPr>
          <w:rFonts w:hint="eastAsia" w:hAnsi="Times New Roman" w:cs="Times New Roman"/>
          <w:color w:val="000000" w:themeColor="text1"/>
          <w:szCs w:val="22"/>
        </w:rPr>
        <w:t>全面实施素质教育。贯彻落实党的教育方针，实施立德树人工程，培养德智体美劳全面发展的社会主义建设者和接班人。严格执行国家和省课程设置方案，推进学校思想政治理论课改革创新建设，加强和改</w:t>
      </w:r>
      <w:r>
        <w:rPr>
          <w:rFonts w:hint="eastAsia" w:hAnsi="Times New Roman" w:cs="Times New Roman"/>
          <w:szCs w:val="22"/>
        </w:rPr>
        <w:t>进</w:t>
      </w:r>
      <w:r>
        <w:rPr>
          <w:rFonts w:hint="eastAsia" w:hAnsi="Times New Roman" w:cs="Times New Roman"/>
          <w:color w:val="000000" w:themeColor="text1"/>
          <w:szCs w:val="22"/>
        </w:rPr>
        <w:t>体育、美育教育，把劳动教育贯穿人才培养全过程。健全学校家庭社会协同育人机制，构建覆盖城乡的家庭教育指导服务体系。加强劳动教育社会实践基地建设，发挥基地教育独特价值和育人优势。重视青少年心理健康教育，完善学校心理健康教育工作机制，加强专兼职心理健康教育工作队伍建设。</w:t>
      </w:r>
    </w:p>
    <w:p>
      <w:pPr>
        <w:ind w:firstLine="640"/>
        <w:rPr>
          <w:rFonts w:hAnsi="Times New Roman" w:cs="Times New Roman"/>
          <w:color w:val="000000" w:themeColor="text1"/>
          <w:szCs w:val="22"/>
        </w:rPr>
      </w:pPr>
      <w:r>
        <w:rPr>
          <w:rFonts w:hint="eastAsia" w:hAnsi="Times New Roman" w:cs="Times New Roman"/>
          <w:color w:val="000000" w:themeColor="text1"/>
          <w:szCs w:val="22"/>
        </w:rPr>
        <w:t>优化基础教育供给。坚持教育公益性原则，完善城乡一体的教育均衡发展机制。实施学前教育行动计划，加大幼儿园新建改扩建力度，大力发展公办幼儿园，积极扶持普惠性民办幼儿园，提升学前教育师资规模质量，营造全社会科学育儿氛围。实施义务教育质量提升行动，深化“新优质学校”培育建设，健全校长教师轮岗交流常态化机制，促进城乡义务教育一体化发展，保障农业转移人口随迁子女、困难家庭学生平等享受基本公共教育服务，开展国家、省义务教育优质均衡县（市）区创建。实施普通高中资源建设行动计划，推进普通高中优质特色发展，深化普通高中课程改革，打通中职、普高“双向通道”，高水平建成普通高中新课程新教材实施国家级示范区和示范校。提高特殊教育质量，加快完善以普通学校随班就读为主体、特殊教育学校为骨干、特教班和送教上门等形式为补充的特殊教育发展格局。到2025年，全市在公办幼儿园或普惠性民办幼儿园就读幼儿比例达到90%以上，在省、市优质幼儿园就读幼儿比例达到95%。</w:t>
      </w:r>
    </w:p>
    <w:p>
      <w:pPr>
        <w:ind w:firstLine="640"/>
        <w:rPr>
          <w:rFonts w:hAnsi="Times New Roman" w:cs="Times New Roman"/>
          <w:color w:val="000000" w:themeColor="text1"/>
          <w:szCs w:val="22"/>
        </w:rPr>
      </w:pPr>
      <w:r>
        <w:rPr>
          <w:rFonts w:hint="eastAsia" w:hAnsi="Times New Roman" w:cs="Times New Roman"/>
          <w:color w:val="000000" w:themeColor="text1"/>
          <w:szCs w:val="22"/>
        </w:rPr>
        <w:t>加快职业教育改革发展。推进部省共建苏锡常都市圈职业教育改革创新，打造现代职业教育高地城市。构建产业契合度高的职业教育体系，鼓励职业院校与应用型本科院校合作，开展中职、高职、应用型本科教育、专业学位研究生教育分级培养和联合培养。实施高等职业院校“卓越计划2.0版”，建设江苏省中等职业教育“领航学校”、五年制高等职业学校、江苏省重点技师学院，支持无锡职业技术学院、无锡商业职业技术学院等“双高”院校和具备条件的职业院校开展本科层次职业教育，培育一批国家级示范职教集团。创新职业教育办学模式，推动产业、行业、企业、专业、学业、就业“六业联动”，建立全员全过程全方位“三全育人”体系。完善无锡（藕塘）职教园建设管理体制机制，实行园城一体化规划建设。推进职业教育产教融合，探索建立中国特色学徒制人才培养模式，布局一批现代产业学院，建设一批高质量品牌专业，培养一批卓越工程师和产业急需的高素质技能人才。</w:t>
      </w:r>
    </w:p>
    <w:p>
      <w:pPr>
        <w:ind w:firstLine="640"/>
        <w:rPr>
          <w:rFonts w:hAnsi="Times New Roman" w:cs="Times New Roman"/>
          <w:color w:val="000000" w:themeColor="text1"/>
          <w:szCs w:val="22"/>
        </w:rPr>
      </w:pPr>
      <w:r>
        <w:rPr>
          <w:rFonts w:hint="eastAsia" w:hAnsi="Times New Roman" w:cs="Times New Roman"/>
          <w:color w:val="000000" w:themeColor="text1"/>
          <w:szCs w:val="22"/>
        </w:rPr>
        <w:t>推动高等教育提质扩容。构建创新型特色化开放式国际化高等教育体系，全面提升高校内涵质量和服务发展能力，积极扩大本科及以上高等教育资源，培育一批一流学科、一流专业、高水平教师团队和高水平创新载体。实施高水平大学建设工程，加快推进江南大学市校合作共建项目建设，支持江南大学建设世界一流学科和特色鲜明的高水平研究型大学，建成江阴校区和宜兴校区。支持东南大学无锡国际校区和南京理工大学江阴校区建设发展。高水平办好无锡学院，创建硕士学位授予单位。支持无锡太湖学院提高办学水平，开展研究生教育。鼓励应用型本科高校对接无锡产业科技人才需求开展合作办学，建设无锡师范高等专科学校。引进国内外知名高校合作举办高水平中外合作大学。</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教育综合改革。支持引导社会力量兴办教育，实行营利性和非营利性民办学校分类管理，促进民办教育培训市场健康发展。实施“锡教名师”培养工程和“我为良师”全员行动，加强高层次教育人才、各级各类骨干教师梯队以及乡村教师队伍建设，深入推进义务教育教师“县管校聘”管理体制改革，完善教师绩效评价体系，保障教师权益。深化考试招生制度改革，完善义务教育免试就近入学办法，实行初中学业水平考试制度和综合素质评价办法。深化教育对外开放，提高教育信息化建设水平。</w:t>
      </w:r>
    </w:p>
    <w:p>
      <w:pPr>
        <w:ind w:firstLine="640"/>
        <w:rPr>
          <w:rFonts w:hAnsi="Times New Roman" w:cs="Times New Roman"/>
          <w:color w:val="000000" w:themeColor="text1"/>
          <w:szCs w:val="22"/>
        </w:rPr>
      </w:pPr>
      <w:r>
        <w:rPr>
          <w:rFonts w:hint="eastAsia" w:hAnsi="Times New Roman" w:cs="Times New Roman"/>
          <w:color w:val="000000" w:themeColor="text1"/>
          <w:szCs w:val="22"/>
        </w:rPr>
        <w:t>建设全民终身学习体系。全面推进学习型社会建设，健全终身学习推进机制，完善以开放大学为龙头的终身教育网络架构，提升社区教育师资队伍和终身教育课程体系建设水平。整合各类社会教育资源，培育建设终身学习实践项目和体验基地。推进终身教育数字化平台建设，建好“无锡学习在线”。</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3" w:name="_Toc55236681"/>
      <w:bookmarkStart w:id="174" w:name="_Toc66870234"/>
      <w:r>
        <w:rPr>
          <w:rFonts w:ascii="Times New Roman" w:hAnsi="Times New Roman" w:eastAsia="方正楷体_GBK" w:cs="Times New Roman"/>
          <w:bCs/>
          <w:color w:val="000000" w:themeColor="text1"/>
          <w:szCs w:val="32"/>
        </w:rPr>
        <w:t>第五节  加强健康无锡建设</w:t>
      </w:r>
      <w:bookmarkEnd w:id="173"/>
      <w:bookmarkEnd w:id="174"/>
    </w:p>
    <w:p>
      <w:pPr>
        <w:ind w:firstLine="640"/>
        <w:rPr>
          <w:rFonts w:hAnsi="Times New Roman" w:cs="Times New Roman"/>
          <w:bCs/>
          <w:color w:val="000000" w:themeColor="text1"/>
          <w:szCs w:val="22"/>
        </w:rPr>
      </w:pPr>
      <w:r>
        <w:rPr>
          <w:rFonts w:hint="eastAsia" w:hAnsi="Times New Roman" w:cs="Times New Roman"/>
          <w:bCs/>
          <w:color w:val="000000" w:themeColor="text1"/>
          <w:szCs w:val="22"/>
        </w:rPr>
        <w:t>把保障人民健康放在优先发展的战略位置，坚持预防为主的方针，深入落实健康中国行动，从以治病为中心转向以健康为中心，为人民提供全方位全周期健康服务，巩固健康城市示范市建设成效。到2025年，人均预期寿命达到83.5岁，每千人口拥有执业（助理）医师数达到3.9人。</w:t>
      </w:r>
    </w:p>
    <w:p>
      <w:pPr>
        <w:ind w:firstLine="640"/>
        <w:rPr>
          <w:rFonts w:hAnsi="Times New Roman" w:cs="Times New Roman"/>
          <w:color w:val="000000" w:themeColor="text1"/>
          <w:szCs w:val="22"/>
        </w:rPr>
      </w:pPr>
      <w:r>
        <w:rPr>
          <w:rFonts w:hint="eastAsia" w:hAnsi="Times New Roman" w:cs="Times New Roman"/>
          <w:bCs/>
          <w:color w:val="000000" w:themeColor="text1"/>
          <w:szCs w:val="22"/>
        </w:rPr>
        <w:t>加强公共卫生能力和体系建设。</w:t>
      </w:r>
      <w:r>
        <w:rPr>
          <w:rFonts w:hint="eastAsia" w:hAnsi="Times New Roman" w:cs="Times New Roman"/>
          <w:color w:val="000000" w:themeColor="text1"/>
          <w:szCs w:val="22"/>
        </w:rPr>
        <w:t>改革完善疾病预防控制体系，加强实验室检测网络建设，增强监测预警、风险评估、流行病学调查、检验检测、应急处置等能力。加强公共卫生人才队伍建设，加大政策保障和政府投入。推进疾病预防控制机构能力建设，强化各级医疗机构疾病防控职责，推动公共卫生服务与医疗服务高效协同。健全突发公共卫生事件应急预案体系，完善分级分层分流的城市传染病救治网络，提高各类传染病的预防、控制、处置和救治能力。建立突发公共卫生事件应急资源储备和采购供应机制，提高应急物资的配置效率。健全口岸公共卫生体系，严防外来重大传染疾病输入。强化艾滋病、血吸虫病、结核病等重大传染病防控，深化慢病防控综合示范区建设，加强癌症筛查和早诊早治。强化职业病危害源头治理，完善职业健康监管服务体系。推进流动人口基本公共卫生服务均等化。深入开展爱国卫生运动，促进全民养成文明健康生活方式。</w:t>
      </w:r>
    </w:p>
    <w:p>
      <w:pPr>
        <w:ind w:firstLine="640"/>
        <w:rPr>
          <w:rFonts w:hAnsi="Times New Roman" w:cs="Times New Roman"/>
          <w:color w:val="000000" w:themeColor="text1"/>
          <w:szCs w:val="22"/>
        </w:rPr>
      </w:pPr>
      <w:r>
        <w:rPr>
          <w:rFonts w:hint="eastAsia" w:hAnsi="Times New Roman" w:cs="Times New Roman"/>
          <w:bCs/>
          <w:color w:val="000000" w:themeColor="text1"/>
          <w:szCs w:val="22"/>
        </w:rPr>
        <w:t>优化医疗卫生服务体系。</w:t>
      </w:r>
      <w:r>
        <w:rPr>
          <w:rFonts w:hint="eastAsia" w:hAnsi="Times New Roman" w:cs="Times New Roman"/>
          <w:color w:val="000000" w:themeColor="text1"/>
          <w:szCs w:val="22"/>
        </w:rPr>
        <w:t>持续推进医疗资源布局调整优化，完成妇女儿童医疗中心、急救中心和卫生高等职业技术学校新址建设工程。大力实施办名院、建名科、增名医“三名”战略，推进市校共建江南大学无锡医学院、南京医科大学无锡医学中心等医疗机构，培育全国百强医院，争创省级区域医疗中心。积极发展医疗联合体、医院集团等模式，完善公立医院医师多点执业制度，支持高水平医疗机构与基层医疗机构开展在线医疗服务合作，促进优质医疗资源向基层下沉。增强基层医疗卫生服务能力，以城市社区医院和农村基层医院、县级医院为重点，落实基层医疗卫生机构保障政策，加快基层卫生人</w:t>
      </w:r>
      <w:r>
        <w:rPr>
          <w:rFonts w:hint="eastAsia" w:hAnsi="Times New Roman" w:cs="Times New Roman"/>
          <w:szCs w:val="22"/>
        </w:rPr>
        <w:t>才和全科医生队伍建设。推动高水平社会办医，引导规范发展非公立医疗机构，扩大专业优质医疗供给。强化专（学）科体系建设，扶持重症、传染、急救、免疫、儿科、精神、康复、全科等薄弱专（学）科发展，</w:t>
      </w:r>
      <w:r>
        <w:rPr>
          <w:rFonts w:hAnsi="Times New Roman" w:cs="Times New Roman"/>
          <w:szCs w:val="22"/>
        </w:rPr>
        <w:t>提</w:t>
      </w:r>
      <w:r>
        <w:rPr>
          <w:rFonts w:hint="eastAsia" w:hAnsi="Times New Roman" w:cs="Times New Roman"/>
          <w:szCs w:val="22"/>
        </w:rPr>
        <w:t>升整</w:t>
      </w:r>
      <w:r>
        <w:rPr>
          <w:rFonts w:hAnsi="Times New Roman" w:cs="Times New Roman"/>
          <w:szCs w:val="22"/>
        </w:rPr>
        <w:t>体</w:t>
      </w:r>
      <w:r>
        <w:rPr>
          <w:rFonts w:hint="eastAsia" w:hAnsi="Times New Roman" w:cs="Times New Roman"/>
          <w:szCs w:val="22"/>
        </w:rPr>
        <w:t>层次</w:t>
      </w:r>
      <w:r>
        <w:rPr>
          <w:rFonts w:hAnsi="Times New Roman" w:cs="Times New Roman"/>
          <w:szCs w:val="22"/>
        </w:rPr>
        <w:t>和</w:t>
      </w:r>
      <w:r>
        <w:rPr>
          <w:rFonts w:hint="eastAsia" w:hAnsi="Times New Roman" w:cs="Times New Roman"/>
          <w:szCs w:val="22"/>
        </w:rPr>
        <w:t>水平。加强医疗教学科研协同，提高医学教育质量，</w:t>
      </w:r>
      <w:r>
        <w:rPr>
          <w:rFonts w:hint="eastAsia" w:hAnsi="Times New Roman" w:cs="Times New Roman"/>
          <w:color w:val="000000" w:themeColor="text1"/>
          <w:szCs w:val="22"/>
        </w:rPr>
        <w:t>推动医疗科技创新和成果转化。加快发展智慧医疗和远程医疗服务，建设市级医疗信息共享平台，实行检验检查结果互认。坚持中西医并重，大力发展中医药事业，建立健全预防保健、疾病治疗和康复融于一体的中医药服务体系，推动龙砂医学流派传承创新，提</w:t>
      </w:r>
      <w:r>
        <w:rPr>
          <w:rFonts w:hAnsi="Times New Roman" w:cs="Times New Roman"/>
          <w:color w:val="000000" w:themeColor="text1"/>
          <w:szCs w:val="22"/>
        </w:rPr>
        <w:t>高</w:t>
      </w:r>
      <w:r>
        <w:rPr>
          <w:rFonts w:hint="eastAsia" w:hAnsi="Times New Roman" w:cs="Times New Roman"/>
          <w:color w:val="000000" w:themeColor="text1"/>
          <w:szCs w:val="22"/>
        </w:rPr>
        <w:t>基层中医药服务能力。提升健康教育、残疾康复服务质量，重视精神卫生和心理健康。扩大家庭医生签约服务范围，完善城乡居民健康电子档案。规范医疗服务行为，提高医疗服务质量，构建和谐医患关系。</w:t>
      </w:r>
    </w:p>
    <w:p>
      <w:pPr>
        <w:ind w:firstLine="640"/>
        <w:rPr>
          <w:rFonts w:hAnsi="Times New Roman" w:cs="Times New Roman"/>
          <w:color w:val="000000" w:themeColor="text1"/>
          <w:szCs w:val="22"/>
        </w:rPr>
      </w:pPr>
      <w:r>
        <w:rPr>
          <w:rFonts w:hint="eastAsia" w:hAnsi="Times New Roman" w:cs="Times New Roman"/>
          <w:color w:val="000000" w:themeColor="text1"/>
          <w:szCs w:val="22"/>
        </w:rPr>
        <w:t>深化医药卫生体制改革。加快推进现代医院管理制度、分级诊疗制度、全民医保制度、药品供应保障制度、综合监管制度建设，促进医保、医疗、医药联动改革系统集成。深化分级诊疗制度改革，构建合理有序就医格局。深化公立医院改革，全面建立健全现代医院管理制度，完善符合医疗行业特点的绩效考核和人事薪酬制度。持续优化医疗服务价格结构，健全价格科学确定、动态调整机制。深化药品、医用耗材集中带量采购制度改革，完善竞争充分、价格合理、规范有序的药品供应保障体系。</w:t>
      </w:r>
    </w:p>
    <w:p>
      <w:pPr>
        <w:ind w:firstLine="640"/>
        <w:rPr>
          <w:rFonts w:hAnsi="Times New Roman" w:cs="Times New Roman"/>
          <w:color w:val="000000" w:themeColor="text1"/>
          <w:szCs w:val="22"/>
        </w:rPr>
      </w:pPr>
      <w:r>
        <w:rPr>
          <w:rFonts w:hint="eastAsia" w:hAnsi="Times New Roman" w:cs="Times New Roman"/>
          <w:color w:val="000000" w:themeColor="text1"/>
          <w:szCs w:val="22"/>
        </w:rPr>
        <w:t>促进体育健身运动发展。推进公共体育设施建设，规划建设市奥体中心。完善城乡一体的全民健身公共服务体系，因地制宜建设群众健身场地设施，推动“10分钟体育健身圈”提档升级，争创全国全民运动健身模范市。增强竞技体育综合实力，优化运动项目布局，易地新建市体育运动学校，强化后备人才培养，促进职业体育发展。发展足球、篮球、排球“三大球”运动，</w:t>
      </w:r>
      <w:r>
        <w:rPr>
          <w:rFonts w:hint="eastAsia" w:hAnsi="Times New Roman" w:cs="Times New Roman"/>
          <w:szCs w:val="22"/>
        </w:rPr>
        <w:t>加快</w:t>
      </w:r>
      <w:r>
        <w:rPr>
          <w:rFonts w:hint="eastAsia" w:hAnsi="Times New Roman" w:cs="Times New Roman"/>
          <w:color w:val="000000" w:themeColor="text1"/>
          <w:szCs w:val="22"/>
        </w:rPr>
        <w:t>城市社区足球场地设施建设。提升体育产业发展质量，大力发展竞赛表演业，持续办好马拉松、自行车、斯诺克、跆拳道等重大国际国内赛事。建立健全体育社会组织管理服务机制，构建运动健康服务体系。到2025年，人均体育场地面积达到3.6平方米。</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5" w:name="_Toc55236682"/>
      <w:bookmarkStart w:id="176" w:name="_Toc66870235"/>
      <w:r>
        <w:rPr>
          <w:rFonts w:ascii="Times New Roman" w:hAnsi="Times New Roman" w:eastAsia="方正楷体_GBK" w:cs="Times New Roman"/>
          <w:bCs/>
          <w:color w:val="000000" w:themeColor="text1"/>
          <w:szCs w:val="32"/>
        </w:rPr>
        <w:t>第六节  积极应对人口老龄化</w:t>
      </w:r>
      <w:bookmarkEnd w:id="175"/>
      <w:bookmarkEnd w:id="176"/>
    </w:p>
    <w:p>
      <w:pPr>
        <w:ind w:firstLine="640"/>
        <w:rPr>
          <w:rFonts w:hAnsi="Times New Roman" w:cs="Times New Roman"/>
          <w:color w:val="000000" w:themeColor="text1"/>
          <w:szCs w:val="22"/>
        </w:rPr>
      </w:pPr>
      <w:r>
        <w:rPr>
          <w:rFonts w:hint="eastAsia" w:hAnsi="Times New Roman" w:cs="Times New Roman"/>
          <w:color w:val="000000" w:themeColor="text1"/>
          <w:szCs w:val="22"/>
        </w:rPr>
        <w:t>加强新时代老龄工作，健全基本养老服务体系和老年人社会优待制度体系，营造敬老爱老社会环境。到2025年，护理型床位数占养老机构床位数比例达到70%以上。</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养老服务体系。完善以居家为基础、社区为依托、机构充分发展、医养有机结合的多层次社会化养老服务体系，实现居家、社区和机构三者之间养老服务协调融合。巩固居家养老的基础性作用，多举措增强家庭照料能力，支持养老机构将服务向社区、家庭延伸。推进社区嵌入式养老，加快为老服务网点、区域性老年助餐中心、社区老年餐桌建设，形成“15分钟养老服务圈”。提升机构养老服务质量，支持养老服务机构规模化、连锁化发展，强化养老服务监管。深化医养结合，加快护理型床位建设，实现医疗卫生与养老服务顺畅衔接。深化国家城企联动普惠养老试点，促进普惠型养老服务和互助性养老发展。统筹推动城乡养老服务设施均衡布局，建设综合性街道社区养老服务设施（机构），实施农村养老服务体系提升计划，增加优质养老机构供给，为经济困难失能老年人、计划生育特殊家庭老年人提供无偿或低收费托养服务。建立健全长期照护服务体系，逐步完善长期护理保险制度。健全养老服务人员培训机制，提升服务队伍规模质量。</w:t>
      </w:r>
    </w:p>
    <w:p>
      <w:pPr>
        <w:ind w:firstLine="640"/>
        <w:rPr>
          <w:rFonts w:hAnsi="Times New Roman" w:cs="Times New Roman"/>
          <w:color w:val="000000" w:themeColor="text1"/>
          <w:szCs w:val="22"/>
        </w:rPr>
      </w:pPr>
      <w:r>
        <w:rPr>
          <w:rFonts w:hint="eastAsia" w:hAnsi="Times New Roman" w:cs="Times New Roman"/>
          <w:color w:val="000000" w:themeColor="text1"/>
          <w:szCs w:val="22"/>
        </w:rPr>
        <w:t>扩大养老服务市场化供给。鼓励多元主体进入养老服务领域，全面开放、培育养老服务市场，通过购买服务、股权合作等方式，支持各类市场主体增加养老服务和产品供给，培育一批养老服务龙头企业。严格落实养老服务设施布局规划和建设要求，将各类养老服务设施建设用地纳入国土空间规划和年度用地计划，健全养老服务设施与住宅同步规划、同步建设、同步验收、同步交付</w:t>
      </w:r>
      <w:r>
        <w:rPr>
          <w:rFonts w:hint="eastAsia" w:hAnsi="Times New Roman" w:cs="Times New Roman"/>
          <w:szCs w:val="22"/>
        </w:rPr>
        <w:t>制度</w:t>
      </w:r>
      <w:r>
        <w:rPr>
          <w:rFonts w:hint="eastAsia" w:hAnsi="Times New Roman" w:cs="Times New Roman"/>
          <w:color w:val="000000" w:themeColor="text1"/>
          <w:szCs w:val="22"/>
        </w:rPr>
        <w:t>。推动现有各类设施适老化改造，整合存量资源闲置设施改造成为养老服务设施。推动智慧养老发展，促进“智慧养老服务机构”“智慧养老服务社区”建设。</w:t>
      </w:r>
    </w:p>
    <w:p>
      <w:pPr>
        <w:ind w:firstLine="640"/>
        <w:rPr>
          <w:rFonts w:hAnsi="Times New Roman" w:cs="Times New Roman"/>
          <w:color w:val="000000" w:themeColor="text1"/>
          <w:szCs w:val="22"/>
        </w:rPr>
      </w:pPr>
      <w:r>
        <w:rPr>
          <w:rFonts w:hint="eastAsia" w:hAnsi="Times New Roman" w:cs="Times New Roman"/>
          <w:color w:val="000000" w:themeColor="text1"/>
          <w:szCs w:val="22"/>
        </w:rPr>
        <w:t>科学开发老年人力资源。构建人口全生命周期服务支持体系，提高劳动参与率与劳动生产率，稳步落实渐进式延迟法定退休年龄政策，有效增加劳动力供给。开发与老年人身体素质、文化技能相匹配的非全职就业、灵活就业和社区工作等岗位，鼓励老年人老有所为。挖掘“银发经济”潜力，加快适老产业创新服务，扩大老年人消费产品供给，保障老年人权益，建设老年友好型社会。</w:t>
      </w:r>
    </w:p>
    <w:p>
      <w:pPr>
        <w:ind w:firstLine="640"/>
        <w:rPr>
          <w:rFonts w:ascii="Times New Roman" w:hAnsi="Times New Roman" w:cs="Times New Roman"/>
          <w:color w:val="000000" w:themeColor="text1"/>
          <w:szCs w:val="22"/>
        </w:rPr>
      </w:pPr>
    </w:p>
    <w:bookmarkEnd w:id="110"/>
    <w:bookmarkEnd w:id="111"/>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77" w:name="_Toc60042712"/>
      <w:bookmarkStart w:id="178" w:name="_Toc55236683"/>
      <w:bookmarkStart w:id="179" w:name="_Toc66870236"/>
      <w:r>
        <w:rPr>
          <w:rFonts w:ascii="Times New Roman" w:hAnsi="Times New Roman" w:eastAsia="方正楷体_GBK" w:cs="Times New Roman"/>
          <w:bCs/>
          <w:color w:val="000000" w:themeColor="text1"/>
          <w:szCs w:val="32"/>
        </w:rPr>
        <w:t>第七节  增强社会保障能力</w:t>
      </w:r>
      <w:bookmarkEnd w:id="177"/>
      <w:bookmarkEnd w:id="178"/>
      <w:bookmarkEnd w:id="179"/>
    </w:p>
    <w:p>
      <w:pPr>
        <w:ind w:firstLine="640"/>
        <w:rPr>
          <w:rFonts w:hAnsi="Times New Roman" w:cs="Times New Roman"/>
          <w:color w:val="000000" w:themeColor="text1"/>
          <w:szCs w:val="22"/>
        </w:rPr>
      </w:pPr>
      <w:r>
        <w:rPr>
          <w:rFonts w:hint="eastAsia" w:hAnsi="Times New Roman" w:cs="Times New Roman"/>
          <w:color w:val="000000" w:themeColor="text1"/>
          <w:szCs w:val="22"/>
        </w:rPr>
        <w:t>坚持兜底线、织密网、建机制，建立健全覆盖全民、统筹城乡、公平统一、可持续的多层次保障体系，稳步提高保障水平，织密扎牢社会保障安全网。</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健全社会保险制度。深化实施全民参保计划，扩大“贴息续保”实施范围，确保法定参保对象应保尽</w:t>
      </w:r>
      <w:r>
        <w:rPr>
          <w:rFonts w:hint="eastAsia" w:hAnsi="Times New Roman" w:cs="Times New Roman"/>
          <w:szCs w:val="22"/>
        </w:rPr>
        <w:t>保。落实基本养老保</w:t>
      </w:r>
      <w:r>
        <w:rPr>
          <w:rFonts w:hint="eastAsia" w:hAnsi="Times New Roman" w:cs="Times New Roman"/>
          <w:color w:val="000000" w:themeColor="text1"/>
          <w:szCs w:val="22"/>
        </w:rPr>
        <w:t>险省级统筹、全国统筹改革任务，鼓励用人单位建立企业年金，完善职业年金制度，建立个人养老金制度，发展多层次、多支柱的养老保险体系。健全城乡基本养老保险待遇认定调整机制和转移接续政策，形成多缴多得、长缴多得的</w:t>
      </w:r>
      <w:r>
        <w:rPr>
          <w:rFonts w:hint="eastAsia" w:hAnsi="Times New Roman" w:cs="Times New Roman"/>
          <w:szCs w:val="22"/>
        </w:rPr>
        <w:t>社会保障</w:t>
      </w:r>
      <w:r>
        <w:rPr>
          <w:rFonts w:hint="eastAsia" w:hAnsi="Times New Roman" w:cs="Times New Roman"/>
          <w:color w:val="000000" w:themeColor="text1"/>
          <w:szCs w:val="22"/>
        </w:rPr>
        <w:t>制度。实现基本医疗保险和生育保险市级统筹，全面建成统一的城乡居民医保</w:t>
      </w:r>
      <w:r>
        <w:rPr>
          <w:rFonts w:hint="eastAsia" w:hAnsi="Times New Roman" w:cs="Times New Roman"/>
          <w:color w:val="000000" w:themeColor="text1"/>
          <w:szCs w:val="32"/>
        </w:rPr>
        <w:t>制度和大病保险制度，加快发展商业医疗保险、医疗互助和慈善医疗救助。完善工伤保险待遇项目标准，扩大失业保险保障范围，合理提高失业保险、工伤保</w:t>
      </w:r>
      <w:r>
        <w:rPr>
          <w:rFonts w:hint="eastAsia" w:hAnsi="Times New Roman" w:cs="Times New Roman"/>
          <w:szCs w:val="32"/>
        </w:rPr>
        <w:t>险待遇。推进职业康复省级试点，推动职业康复与技能培训、再就业有效衔接。加强</w:t>
      </w:r>
      <w:r>
        <w:rPr>
          <w:rFonts w:hint="eastAsia" w:hAnsi="Times New Roman" w:cs="Times New Roman"/>
          <w:szCs w:val="22"/>
        </w:rPr>
        <w:t>社</w:t>
      </w:r>
      <w:r>
        <w:rPr>
          <w:rFonts w:hint="eastAsia" w:hAnsi="Times New Roman" w:cs="Times New Roman"/>
          <w:color w:val="000000" w:themeColor="text1"/>
          <w:szCs w:val="22"/>
        </w:rPr>
        <w:t>会保险基金监管，健全风险防控体系。</w:t>
      </w:r>
    </w:p>
    <w:p>
      <w:pPr>
        <w:ind w:firstLine="640"/>
        <w:rPr>
          <w:rFonts w:hAnsi="Times New Roman" w:cs="Times New Roman"/>
          <w:strike/>
          <w:color w:val="000000" w:themeColor="text1"/>
          <w:szCs w:val="22"/>
        </w:rPr>
      </w:pPr>
      <w:r>
        <w:rPr>
          <w:rFonts w:hint="eastAsia" w:hAnsi="Times New Roman" w:cs="Times New Roman"/>
          <w:color w:val="000000" w:themeColor="text1"/>
          <w:szCs w:val="22"/>
        </w:rPr>
        <w:t>完善社会救助体系。加大社会保险、社会救助、社会福利、社会互助制度衔接力度，增强社会救助兜底保障能力。健全按户保和按人保相结合的最低生活保障制度，适度扩大最低生活保障覆盖范围，稳步提高最低生活保障标准。健全特困人员救助供养制度，落实分散供养特困人员照料服务，对有集中供养意愿的特困人员实现全部集中供养。健全完善临时救助政策，积极发展服务类社会救助、慈善救助，提高突发公共事件困难群众急难救助能力，多措并举保障困难群众的基本生活。统筹社会福利事业发展，深化红十字事业改革，实施“逝有所安”工程，提高基本殡葬服务供给</w:t>
      </w:r>
      <w:r>
        <w:rPr>
          <w:rFonts w:hint="eastAsia" w:hAnsi="Times New Roman" w:cs="Times New Roman"/>
          <w:szCs w:val="22"/>
        </w:rPr>
        <w:t>能力水平</w:t>
      </w:r>
      <w:r>
        <w:rPr>
          <w:rFonts w:hint="eastAsia" w:hAnsi="Times New Roman" w:cs="Times New Roman"/>
          <w:color w:val="000000" w:themeColor="text1"/>
          <w:szCs w:val="22"/>
        </w:rPr>
        <w:t>。加强残疾人社会保障和服务体系建设，推进无障碍环境建设，推动残疾人事业高质量发展。巩固扶贫帮困成果，加强相对贫困人口帮扶，合理确定相对贫困人口标准，探索建立市级大数据平台，建立返贫监测预警和动态帮扶机制，健全解决相对贫困长效机制。</w:t>
      </w:r>
    </w:p>
    <w:p>
      <w:pPr>
        <w:ind w:firstLine="640"/>
        <w:rPr>
          <w:rFonts w:hAnsi="Times New Roman" w:cs="Times New Roman"/>
          <w:color w:val="000000" w:themeColor="text1"/>
        </w:rPr>
      </w:pPr>
      <w:r>
        <w:rPr>
          <w:rFonts w:hint="eastAsia" w:hAnsi="Times New Roman" w:cs="Times New Roman"/>
          <w:color w:val="000000" w:themeColor="text1"/>
          <w:szCs w:val="22"/>
        </w:rPr>
        <w:t>提升住房保障水平。完善多主体供应、多渠道保障、租购并举的住房制度体系，提高针对不同群体的住房保障能力和水平。制定完善住房保障政策体系，促进住房保障对象从以户籍家庭为主转向覆盖城镇常住人口，确保城镇中等偏下收入住房困难家庭实现应保尽保。推进新一轮保障房项目规划建设，加快改革配售型保障房供应体系，加大共有产权保障房供应力度，探索支持利用集体建设用地规划建设租赁用房，扩大保障性租赁住房供给，实现各类保障</w:t>
      </w:r>
      <w:r>
        <w:rPr>
          <w:rFonts w:hint="eastAsia" w:hAnsi="Times New Roman" w:cs="Times New Roman"/>
          <w:szCs w:val="22"/>
        </w:rPr>
        <w:t>对象全覆盖。全面推进宜居住区建设，扩大城镇棚户区（危旧房、城中村）改造覆盖面，分类推进老旧小区改造工程、既有居住区提升工程、新建居住区高质量建设工程，推动既有住宅增设电梯。健全既有建筑安全管理制度体系，建立重大危房应急解危快速通道，加快推进危房改造。分类构建物业长效管理机制，提高物业服务满意度。坚持“房子是用来住的，不是用来炒的”定位，多措并举促进房地产市场平稳健康发展。发</w:t>
      </w:r>
      <w:r>
        <w:rPr>
          <w:rFonts w:hint="eastAsia" w:hAnsi="Times New Roman" w:cs="Times New Roman"/>
          <w:color w:val="000000" w:themeColor="text1"/>
          <w:szCs w:val="22"/>
        </w:rPr>
        <w:t>展和规范住房租赁市场，完善长租房政策。到2025年，城镇棚户区完成改造300万平方米，</w:t>
      </w:r>
      <w:r>
        <w:rPr>
          <w:rFonts w:hint="eastAsia" w:hAnsi="Times New Roman" w:cs="Times New Roman"/>
          <w:szCs w:val="22"/>
        </w:rPr>
        <w:t>中心城区棚户区改造基本完成，</w:t>
      </w:r>
      <w:r>
        <w:rPr>
          <w:rFonts w:hint="eastAsia" w:hAnsi="Times New Roman" w:cs="Times New Roman"/>
          <w:color w:val="000000" w:themeColor="text1"/>
          <w:szCs w:val="22"/>
        </w:rPr>
        <w:t>城镇人均自有现住房面积达到50平方米，新建成省级物业管理示范住宅小区60个。</w:t>
      </w:r>
      <w:r>
        <w:rPr>
          <w:rFonts w:hint="eastAsia" w:hAnsi="Times New Roman" w:cs="Times New Roman"/>
          <w:color w:val="000000" w:themeColor="text1"/>
          <w:szCs w:val="22"/>
        </w:rPr>
        <w:br w:type="page"/>
      </w:r>
      <w:bookmarkStart w:id="180" w:name="_Toc60042713"/>
    </w:p>
    <w:p>
      <w:pPr>
        <w:ind w:firstLine="640"/>
        <w:rPr>
          <w:rFonts w:ascii="Times New Roman" w:hAnsi="Times New Roman" w:cs="Times New Roman"/>
          <w:color w:val="000000" w:themeColor="text1"/>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181" w:name="_Toc66870237"/>
      <w:r>
        <w:rPr>
          <w:rFonts w:ascii="Times New Roman" w:hAnsi="Times New Roman" w:eastAsia="方正黑体_GBK" w:cs="Times New Roman"/>
          <w:bCs/>
          <w:color w:val="000000" w:themeColor="text1"/>
          <w:szCs w:val="32"/>
        </w:rPr>
        <w:t>第十五章  推进市域治理现代化建设</w:t>
      </w:r>
      <w:bookmarkEnd w:id="180"/>
      <w:bookmarkEnd w:id="181"/>
    </w:p>
    <w:p>
      <w:pPr>
        <w:ind w:firstLine="640"/>
        <w:rPr>
          <w:rFonts w:hAnsi="Times New Roman" w:cs="Times New Roman"/>
          <w:szCs w:val="22"/>
        </w:rPr>
      </w:pPr>
      <w:r>
        <w:rPr>
          <w:rFonts w:hint="eastAsia" w:hAnsi="Times New Roman" w:cs="Times New Roman"/>
          <w:szCs w:val="22"/>
        </w:rPr>
        <w:t>统筹发展和安全，围绕充分保障人民权益、促进社会公平正义、增进社会安定和谐，发展社会主义民主政治，推进法治无锡建设，切实提升本质安全水平，努力走出一条符合中央精神、体现时代要求、富有无锡特点的市域治理体系和治理能力现代化之路。</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82" w:name="_Toc60042714"/>
      <w:bookmarkStart w:id="183" w:name="_Toc66870238"/>
      <w:bookmarkStart w:id="184" w:name="_Toc55236685"/>
      <w:bookmarkStart w:id="185" w:name="_Toc56155357"/>
      <w:r>
        <w:rPr>
          <w:rFonts w:ascii="Times New Roman" w:hAnsi="Times New Roman" w:eastAsia="方正楷体_GBK" w:cs="Times New Roman"/>
          <w:bCs/>
          <w:color w:val="000000" w:themeColor="text1"/>
          <w:szCs w:val="32"/>
        </w:rPr>
        <w:t>第一节  加强民主政治建设</w:t>
      </w:r>
      <w:bookmarkEnd w:id="182"/>
      <w:bookmarkEnd w:id="183"/>
      <w:bookmarkEnd w:id="184"/>
      <w:bookmarkEnd w:id="185"/>
    </w:p>
    <w:p>
      <w:pPr>
        <w:ind w:firstLine="640"/>
        <w:rPr>
          <w:rFonts w:hAnsi="Times New Roman" w:cs="Times New Roman"/>
          <w:color w:val="000000" w:themeColor="text1"/>
          <w:szCs w:val="32"/>
        </w:rPr>
      </w:pPr>
      <w:r>
        <w:rPr>
          <w:rFonts w:hint="eastAsia" w:hAnsi="Times New Roman" w:cs="Times New Roman"/>
          <w:color w:val="000000" w:themeColor="text1"/>
          <w:szCs w:val="22"/>
        </w:rPr>
        <w:t>坚持党的领导、人民当家作主、依法治市有机统一，深化发展社会主义民主政治，完善覆盖法治运行全过程的多元监督体系。</w:t>
      </w:r>
      <w:r>
        <w:rPr>
          <w:rFonts w:hint="eastAsia" w:hAnsi="Times New Roman" w:cs="Times New Roman"/>
          <w:color w:val="000000" w:themeColor="text1"/>
          <w:szCs w:val="32"/>
        </w:rPr>
        <w:t>坚持和完善人民代表大会制度，</w:t>
      </w:r>
      <w:r>
        <w:rPr>
          <w:rFonts w:hint="eastAsia" w:hAnsi="Times New Roman" w:cs="Times New Roman"/>
          <w:color w:val="000000" w:themeColor="text1"/>
          <w:szCs w:val="22"/>
        </w:rPr>
        <w:t>保证人大及其常委会依法行使职权，完善人大对“一府一委两院”监督制度</w:t>
      </w:r>
      <w:r>
        <w:rPr>
          <w:rFonts w:hint="eastAsia" w:hAnsi="Times New Roman" w:cs="Times New Roman"/>
          <w:color w:val="000000" w:themeColor="text1"/>
          <w:szCs w:val="32"/>
        </w:rPr>
        <w:t>，</w:t>
      </w:r>
      <w:r>
        <w:rPr>
          <w:rFonts w:hint="eastAsia" w:hAnsi="Times New Roman" w:cs="Times New Roman"/>
          <w:color w:val="000000" w:themeColor="text1"/>
          <w:szCs w:val="22"/>
        </w:rPr>
        <w:t>健全专题询问、专项评议和满意度测评制度。落实人大讨论重大决定事项、政府重大决策出台前向本级人大报告制度，完善重大事项报告沟通协调机制和审议决定程序。</w:t>
      </w:r>
      <w:r>
        <w:rPr>
          <w:rFonts w:hint="eastAsia" w:hAnsi="Times New Roman" w:cs="Times New Roman"/>
          <w:color w:val="000000" w:themeColor="text1"/>
          <w:szCs w:val="32"/>
        </w:rPr>
        <w:t>充分发挥人民政协作为协商民主重要渠道和专门协商机构作用，健全支持民主党派和无党派人士履行职能工作机制，提高建言资政和凝聚共识水平。加强基层议事协商平台和议事室建设，打响“有事好商量”协商议事无锡品牌。巩固和发展最广泛的爱国统一战线，充分发挥民主党派、工商联、无党派人士和党外知识分子、新社会阶层人士作用，引导港澳台同胞、华侨华人参与经济发展，凝心聚力推动大团结大联合。全面贯彻党的民族政策，实施民族团结进步工程，铸牢中华民族共同体意识。全面贯彻党的宗教工作基本方针，积极引导宗教与社会主义社会相适应。强化对公权力运行的制约和监督，</w:t>
      </w:r>
      <w:r>
        <w:rPr>
          <w:rFonts w:hint="eastAsia" w:hAnsi="Times New Roman" w:cs="Times New Roman"/>
          <w:color w:val="000000" w:themeColor="text1"/>
          <w:szCs w:val="22"/>
        </w:rPr>
        <w:t>完善党内监督体系，推动党内监督与人大监督、民主监督、行政监督、司法监督、审计监督、群众监督、舆论监督有机贯通、相互协调，</w:t>
      </w:r>
      <w:r>
        <w:rPr>
          <w:rFonts w:hint="eastAsia" w:hAnsi="Times New Roman" w:cs="Times New Roman"/>
          <w:color w:val="000000" w:themeColor="text1"/>
          <w:szCs w:val="32"/>
        </w:rPr>
        <w:t>着力破解对“一把手”监督难题。</w:t>
      </w:r>
      <w:r>
        <w:rPr>
          <w:rFonts w:hint="eastAsia" w:hAnsi="Times New Roman" w:cs="Times New Roman"/>
          <w:color w:val="000000" w:themeColor="text1"/>
          <w:szCs w:val="22"/>
        </w:rPr>
        <w:t>建立健全权力规范运行有效机制，全面推进党务、政务、司法和各领域办事公开。</w:t>
      </w:r>
      <w:r>
        <w:rPr>
          <w:rFonts w:hint="eastAsia" w:hAnsi="Times New Roman" w:cs="Times New Roman"/>
          <w:color w:val="000000" w:themeColor="text1"/>
          <w:szCs w:val="32"/>
        </w:rPr>
        <w:t>坚定不移深化反腐败斗争，着力构建一体推进不敢腐、不能腐、不想腐体制机制。</w:t>
      </w:r>
      <w:r>
        <w:rPr>
          <w:rFonts w:hint="eastAsia" w:hAnsi="Times New Roman" w:cs="Times New Roman"/>
          <w:color w:val="000000" w:themeColor="text1"/>
          <w:szCs w:val="22"/>
        </w:rPr>
        <w:t>完善干部任职回避、定期轮岗、任期审计等制度，加强对所有行使公权力的公职人员的监督。</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86" w:name="_Toc56155358"/>
      <w:bookmarkStart w:id="187" w:name="_Toc60042715"/>
      <w:bookmarkStart w:id="188" w:name="_Toc66870239"/>
      <w:bookmarkStart w:id="189" w:name="_Toc55236686"/>
      <w:r>
        <w:rPr>
          <w:rFonts w:ascii="Times New Roman" w:hAnsi="Times New Roman" w:eastAsia="方正楷体_GBK" w:cs="Times New Roman"/>
          <w:bCs/>
          <w:color w:val="000000" w:themeColor="text1"/>
          <w:szCs w:val="32"/>
        </w:rPr>
        <w:t>第二节  深化法治无锡建设</w:t>
      </w:r>
      <w:bookmarkEnd w:id="186"/>
      <w:bookmarkEnd w:id="187"/>
      <w:bookmarkEnd w:id="188"/>
      <w:bookmarkEnd w:id="189"/>
    </w:p>
    <w:p>
      <w:pPr>
        <w:ind w:firstLine="640"/>
        <w:rPr>
          <w:rFonts w:hAnsi="Times New Roman" w:cs="Times New Roman"/>
          <w:szCs w:val="22"/>
        </w:rPr>
      </w:pPr>
      <w:r>
        <w:rPr>
          <w:rFonts w:hint="eastAsia" w:hAnsi="Times New Roman" w:cs="Times New Roman"/>
          <w:szCs w:val="22"/>
        </w:rPr>
        <w:t>有效发挥法治固根本、稳预期、利长远的保障作用，全面保障社会公平正义和人民权益，坚持依法治市、依法执政、依法行政共同推进，法治无锡、法治政府、法治社会一体建设，不断开创法治建设新局面。</w:t>
      </w:r>
    </w:p>
    <w:p>
      <w:pPr>
        <w:ind w:firstLine="640"/>
        <w:rPr>
          <w:rFonts w:hAnsi="Times New Roman" w:cs="Times New Roman"/>
          <w:szCs w:val="22"/>
        </w:rPr>
      </w:pPr>
      <w:r>
        <w:rPr>
          <w:rFonts w:hint="eastAsia" w:hAnsi="Times New Roman" w:cs="Times New Roman"/>
          <w:szCs w:val="22"/>
        </w:rPr>
        <w:t>推进科学民主立法。健全保障宪法全面实施的体制机制，维护宪法权威和尊严。坚持科学立法、民主立法、依法立法，构建地方法规制度体系，提高地方立法的质量效率。坚持立改废释并重，完善与改革发展稳定相适应、相协调、相促进的制度体系。加强重点领域和关键环节立法，健全立法协商、咨询论证和公众参与机制。</w:t>
      </w:r>
    </w:p>
    <w:p>
      <w:pPr>
        <w:ind w:firstLine="640"/>
        <w:rPr>
          <w:rFonts w:hAnsi="Times New Roman" w:cs="Times New Roman"/>
          <w:szCs w:val="22"/>
        </w:rPr>
      </w:pPr>
      <w:r>
        <w:rPr>
          <w:rFonts w:hint="eastAsia" w:hAnsi="Times New Roman" w:cs="Times New Roman"/>
          <w:szCs w:val="22"/>
        </w:rPr>
        <w:t>深化法治政府建设。坚持依宪行政、依法行政，增强各级政府法治意识，全面推行政府部门权责清单制度，争创国家级、省级法治政府建设示范城市和示范县（市）区。深化综合行政执法体制改革，分类推进县域综合行政执法，推动行政执法权限和力量向镇（街道）延伸下沉。严格规范公正文明执法，深入实施行政执法公示、执法全过程记录、重大执法决定法制审核“三项制度”，提高政府公信力和执行力。稳步推进行政复议体制改革，促进依法行政效能提升，深化政务公开，实现公开内容覆盖权力运行全过程和政务服务全过程，提高政务公开制度化、标准化和信息化水平。</w:t>
      </w:r>
    </w:p>
    <w:p>
      <w:pPr>
        <w:ind w:firstLine="640"/>
        <w:rPr>
          <w:rFonts w:hAnsi="Times New Roman" w:cs="Times New Roman"/>
          <w:szCs w:val="22"/>
        </w:rPr>
      </w:pPr>
      <w:r>
        <w:rPr>
          <w:rFonts w:hint="eastAsia" w:hAnsi="Times New Roman" w:cs="Times New Roman"/>
          <w:szCs w:val="22"/>
        </w:rPr>
        <w:t>依法优化行政决策。严格落实重大行政决策程序制度，提高决策科学化、民主化、法治化水平。落实重大决策集体讨论制度，健全重大决策风险评估机制。全面推行重大民生决策事项民意调查制度，完善公职律师、法律顾问参与行政决策、有效发挥作用的制度机制，加强行政规范性文件合法性审核。健全重大行政决策实施后评估制度，实施重大行政决策责任追究和责任倒查机制。</w:t>
      </w:r>
    </w:p>
    <w:p>
      <w:pPr>
        <w:ind w:firstLine="640"/>
        <w:rPr>
          <w:rFonts w:hAnsi="Times New Roman" w:cs="Times New Roman"/>
          <w:szCs w:val="22"/>
        </w:rPr>
      </w:pPr>
      <w:r>
        <w:rPr>
          <w:rFonts w:hint="eastAsia" w:hAnsi="Times New Roman" w:cs="Times New Roman"/>
          <w:szCs w:val="22"/>
        </w:rPr>
        <w:t>完善司法体制机制。深化司法体制综合配套改革，落实民事、行政诉讼制度和以审判为中心的刑事诉讼制度改革。全面推行司法责任制，健全司法制约监督体系，确保司法公正高效权威。健全人民法院服务和保障大局制度体系，构建以人民为中心的诉讼服务制度体系，完善阳光司法体系。健全司法机关人员分类管理和职业保障制度体系。推动行政执法与刑事司法有机衔接，深化刑罚执行一体化建设。健全常态化执法司法监督检查机制，促进执法司法公信力不断提升。推进案件分类办理，探索“一站式”审查起诉模式、“一步到庭”办案模式，有效提高办案质效。强化科技驱动，全面建设“智慧法院”“智慧检察院”。</w:t>
      </w:r>
    </w:p>
    <w:p>
      <w:pPr>
        <w:ind w:firstLine="640"/>
        <w:rPr>
          <w:rFonts w:hAnsi="Times New Roman" w:cs="Times New Roman"/>
          <w:szCs w:val="22"/>
        </w:rPr>
      </w:pPr>
      <w:r>
        <w:rPr>
          <w:rFonts w:hint="eastAsia" w:hAnsi="Times New Roman" w:cs="Times New Roman"/>
          <w:szCs w:val="22"/>
        </w:rPr>
        <w:t>建设法治社会。实施“八五”普法规划，完善普法组织体系和运转机制，健全“智慧普法”体系，加强全媒体普法公益宣传，提高普法针对性和实效性。全面宣传实施民法典，更好保障人民权益。广泛开展“法润无锡”系列活动，深化法治文化阵地建设和示范点创建，健全全社会普法大格局。优化法律服务资源配置，推进“全生命周期”法律服务产品深度研发，健全法律顾问和法律援助机制，构筑覆盖城乡、惠及全民的公共法律服务体系。</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0" w:name="_Toc55236687"/>
      <w:bookmarkStart w:id="191" w:name="_Toc66870240"/>
      <w:bookmarkStart w:id="192" w:name="_Toc56155359"/>
      <w:r>
        <w:rPr>
          <w:rFonts w:ascii="Times New Roman" w:hAnsi="Times New Roman" w:eastAsia="方正楷体_GBK" w:cs="Times New Roman"/>
          <w:bCs/>
          <w:color w:val="000000" w:themeColor="text1"/>
          <w:szCs w:val="32"/>
        </w:rPr>
        <w:t>第三节  加强和创新社会治理</w:t>
      </w:r>
      <w:bookmarkEnd w:id="190"/>
      <w:bookmarkEnd w:id="191"/>
      <w:bookmarkEnd w:id="192"/>
    </w:p>
    <w:p>
      <w:pPr>
        <w:ind w:firstLine="640"/>
        <w:rPr>
          <w:rFonts w:hAnsi="仿宋" w:cs="Times New Roman"/>
          <w:color w:val="000000" w:themeColor="text1"/>
          <w:szCs w:val="22"/>
        </w:rPr>
      </w:pPr>
      <w:r>
        <w:rPr>
          <w:rFonts w:hint="eastAsia" w:hAnsi="仿宋" w:cs="Times New Roman"/>
          <w:color w:val="000000" w:themeColor="text1"/>
          <w:szCs w:val="22"/>
        </w:rPr>
        <w:t>完善社会治理体系，实现政府治理同社会调节、居民自治良性互动，建设人人有责、人人尽责、人人享有的社会治理共同体，争创全国市域社会治理现代化试点合格城市。</w:t>
      </w:r>
    </w:p>
    <w:p>
      <w:pPr>
        <w:ind w:firstLine="640"/>
        <w:rPr>
          <w:rFonts w:hAnsi="仿宋" w:cs="Times New Roman"/>
          <w:color w:val="000000" w:themeColor="text1"/>
          <w:szCs w:val="22"/>
        </w:rPr>
      </w:pPr>
      <w:r>
        <w:rPr>
          <w:rFonts w:hint="eastAsia" w:hAnsi="仿宋" w:cs="Times New Roman"/>
          <w:color w:val="000000" w:themeColor="text1"/>
          <w:szCs w:val="22"/>
        </w:rPr>
        <w:t>夯实社会治理基层基础。发挥江阴全国乡村治理体系建设试点作用，深化基层整合审批服务执法力量“三整合”改革，推动社会治理重心向基层下移，向基层放权赋能，构建党建引领的自治、法治、德治“三治”融合和“智治”支撑的城乡基层治理机制，形成党建引领基层治理“一（县）区一特色”。完善基层民主协商制度，加强基层议事协商平台载体建设，充分发挥自治章程、村规民约、居民公约、理事会及“新乡贤”在基层治理中的积极作用。完善“政社互动”机制，推动社区服务资源整合，严格社区工作事项准入制度，减轻基层特别是村（社区）级组织负担，完善社区工作者“星级+薪级”职业体系。健全以职工代表大会为基本形式的企事业单位民主管理制度，维护职工合法权益。</w:t>
      </w:r>
    </w:p>
    <w:p>
      <w:pPr>
        <w:ind w:firstLine="640"/>
        <w:rPr>
          <w:rFonts w:hAnsi="仿宋" w:cs="Times New Roman"/>
          <w:color w:val="000000" w:themeColor="text1"/>
          <w:szCs w:val="22"/>
        </w:rPr>
      </w:pPr>
      <w:r>
        <w:rPr>
          <w:rFonts w:hint="eastAsia" w:hAnsi="仿宋" w:cs="Times New Roman"/>
          <w:color w:val="000000" w:themeColor="text1"/>
          <w:szCs w:val="22"/>
        </w:rPr>
        <w:t>完善“大数据+网格化+铁脚板”治理机制。全面形成以大数据应用为内核的赋能体系、以网格化治理为载体的联动共治体系、以“铁脚板”落地为导向的力量组织体系，打造新时代智能化网格化治理“无锡样板”。综合运用物联网、大数据等技术，强化政府、社会、企业数字资源融合共享，建设市域治理现代化指挥中心，形成市、市（县）区、镇（街道）三级社会治理现代化指挥调度体系，实现社会治理各部门数据“一中心”汇聚，“一平台”共享。深化实施网格规范达标工程，推进各级综治中心与网格化服务管理中心一体化建设运行，推动矛盾化解、信访接待、法律服务类中心进驻同级综治中心（网格化服务管理中心），推动专职网格员队伍规范化建设，打响“网格+党建”“网格+警格”“平安前哨”等治理品牌，实现“大事全网联动、小事一格解决”。</w:t>
      </w:r>
    </w:p>
    <w:p>
      <w:pPr>
        <w:ind w:firstLine="640"/>
        <w:rPr>
          <w:rFonts w:hAnsi="仿宋" w:cs="Times New Roman"/>
          <w:color w:val="000000" w:themeColor="text1"/>
          <w:szCs w:val="22"/>
        </w:rPr>
      </w:pPr>
      <w:r>
        <w:rPr>
          <w:rFonts w:hint="eastAsia" w:hAnsi="仿宋" w:cs="Times New Roman"/>
          <w:color w:val="000000" w:themeColor="text1"/>
          <w:szCs w:val="22"/>
        </w:rPr>
        <w:t>完善社会信用体系。深化信用承诺制度，健全信用修复机制，实行以大数据为基础、以公共信用综合评价为依据、以市场主体信用等级水平为标准的差异化监管措施，逐步形成信用分级分类监管体系。深化信用联合奖惩机制，依法依规完善严重失信主体名单认定机制，健全信用法治环境。培育信用服务机构，不断提高信用惠民便企水平。强化政务诚信建设，探索建立政务领域信用评价与失信风险监测预警体系。夯实社会信用信息化基础，强化智能化公共信用服务平台的支撑作用。</w:t>
      </w:r>
    </w:p>
    <w:p>
      <w:pPr>
        <w:ind w:firstLine="640"/>
        <w:rPr>
          <w:rFonts w:hAnsi="仿宋" w:cs="Times New Roman"/>
          <w:color w:val="000000" w:themeColor="text1"/>
          <w:szCs w:val="22"/>
        </w:rPr>
      </w:pPr>
      <w:r>
        <w:rPr>
          <w:rFonts w:hint="eastAsia" w:hAnsi="仿宋" w:cs="Times New Roman"/>
          <w:color w:val="000000" w:themeColor="text1"/>
          <w:szCs w:val="22"/>
        </w:rPr>
        <w:t>促进社会组织高质量发展。深化行业协会、商会和中介机构改革，加快形成政社分开、权责明确、依法自治的社会组织制度，畅通和规范市场主体、新社会阶层、社会工作者和志愿者等参与社会治理的途径。重点培育发展公益慈善类、科技类、行业协会商会类和城乡社区服务类社会组织，扶持发展一批有实力、有能力、有品牌的社会组织机构。完善以项目为导向的政府购买服务机制，推动政府职能向社会组织转移，健全第三方评估制度，促进社会组织规范承接政府职能。强化社会组织综合监管，健全社会组织评估和退出机制。到2025年，社会组织高质量发展水平达到60%。</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3" w:name="_Toc55236690"/>
      <w:bookmarkStart w:id="194" w:name="_Toc56155362"/>
      <w:bookmarkStart w:id="195" w:name="_Toc66870241"/>
      <w:bookmarkStart w:id="196" w:name="_Toc55236688"/>
      <w:bookmarkStart w:id="197" w:name="_Toc56155360"/>
      <w:r>
        <w:rPr>
          <w:rFonts w:ascii="Times New Roman" w:hAnsi="Times New Roman" w:eastAsia="方正楷体_GBK" w:cs="Times New Roman"/>
          <w:bCs/>
          <w:color w:val="000000" w:themeColor="text1"/>
          <w:szCs w:val="32"/>
        </w:rPr>
        <w:t xml:space="preserve">第四节  </w:t>
      </w:r>
      <w:bookmarkEnd w:id="193"/>
      <w:bookmarkEnd w:id="194"/>
      <w:r>
        <w:rPr>
          <w:rFonts w:ascii="Times New Roman" w:hAnsi="Times New Roman" w:eastAsia="方正楷体_GBK" w:cs="Times New Roman"/>
          <w:bCs/>
          <w:color w:val="000000" w:themeColor="text1"/>
          <w:szCs w:val="32"/>
        </w:rPr>
        <w:t>切实维护城市安全</w:t>
      </w:r>
      <w:bookmarkEnd w:id="195"/>
    </w:p>
    <w:p>
      <w:pPr>
        <w:ind w:firstLine="640"/>
        <w:rPr>
          <w:rFonts w:hAnsi="Times New Roman" w:cs="Times New Roman"/>
          <w:szCs w:val="22"/>
        </w:rPr>
      </w:pPr>
      <w:r>
        <w:rPr>
          <w:rFonts w:hint="eastAsia" w:hAnsi="Times New Roman" w:cs="Times New Roman"/>
          <w:szCs w:val="22"/>
        </w:rPr>
        <w:t>深入贯彻总体国家安全观，统筹传统安全和非传统安全，健全重大风险防控体系和机制，把安全发展贯穿各领域全过程，建设基础更牢、水平更高、群众更满意的平安无锡。</w:t>
      </w:r>
    </w:p>
    <w:p>
      <w:pPr>
        <w:ind w:firstLine="640"/>
        <w:rPr>
          <w:rFonts w:hAnsi="Times New Roman" w:cs="Times New Roman"/>
          <w:bCs/>
          <w:color w:val="000000" w:themeColor="text1"/>
          <w:szCs w:val="22"/>
        </w:rPr>
      </w:pPr>
      <w:r>
        <w:rPr>
          <w:rFonts w:hint="eastAsia" w:hAnsi="Times New Roman" w:cs="Times New Roman"/>
          <w:color w:val="000000" w:themeColor="text1"/>
          <w:szCs w:val="22"/>
        </w:rPr>
        <w:t>坚决捍卫政治安全。落实国家安全战略和重点领域国家安全政策，健全捍卫国家政治安全制度，加强国家安全人民防线建设，形成集中统一、高效权威的国家安全组织体系和工作机制。健全国家安全审查和监管制度，加强国家安全执法。加强国家安全宣传教育，增强全民国家安全意识，巩固国家安全人民防线。依法严密防范和严厉打击敌对势力渗透颠覆破坏活动、暴力恐怖活动、民族分裂活动、宗教极端活动，坚决维护国家政治、经济、文化、社会、信息、国防等安全。巩固军政军民团结，建设新时代双拥模范城市，推动军民用先进技术双向转移利用。</w:t>
      </w:r>
    </w:p>
    <w:p>
      <w:pPr>
        <w:ind w:firstLine="640"/>
        <w:rPr>
          <w:rFonts w:hAnsi="Times New Roman" w:cs="Times New Roman"/>
          <w:color w:val="000000" w:themeColor="text1"/>
          <w:szCs w:val="22"/>
        </w:rPr>
      </w:pPr>
      <w:r>
        <w:rPr>
          <w:rFonts w:hint="eastAsia" w:hAnsi="Times New Roman" w:cs="Times New Roman"/>
          <w:color w:val="000000" w:themeColor="text1"/>
          <w:szCs w:val="22"/>
        </w:rPr>
        <w:t>全力保障经济安全。妥善应对外部环境不确定性，加强经济安全风险预警、防控机制和能力建设，实施产业竞争力调查和评价工程，加强国际产业安全合作，增强产业体系抗冲击能力。密切跟踪新一轮科技革命可能引发的安全隐患、观念冲击和风险传导，前瞻实施研判防范，维护新型领域安全。加强粮食流通基础设施与应急保供能力建设，实施优质粮食保障供应工程，开展粮食节约行动，确保粮、棉、油、肉等重要农产品供应安全和市场供应稳定。合理利用和保护资源能源，加强能源安全储备，保障能源持续、可靠和有效供给，维护水利、电力、供水、油气、交通、通信等重要基础设施安全。维护金融安全稳定，建立健全风险预警防控机制，依法严厉打击各种非法金融活动和金融违法犯罪行为，坚决打击逃废金融债务，依法规范企业破产，积极有效维护金融债权，坚决守住不发生系统性区域性金融风险的底线。</w:t>
      </w:r>
    </w:p>
    <w:p>
      <w:pPr>
        <w:ind w:firstLine="640"/>
        <w:rPr>
          <w:rFonts w:hAnsi="Times New Roman" w:cs="Times New Roman"/>
          <w:strike/>
          <w:color w:val="000000" w:themeColor="text1"/>
          <w:szCs w:val="22"/>
        </w:rPr>
      </w:pPr>
      <w:r>
        <w:rPr>
          <w:rFonts w:hint="eastAsia" w:hAnsi="Times New Roman" w:cs="Times New Roman"/>
          <w:bCs/>
          <w:color w:val="000000" w:themeColor="text1"/>
          <w:szCs w:val="22"/>
        </w:rPr>
        <w:t>切实提高生物安全。</w:t>
      </w:r>
      <w:r>
        <w:rPr>
          <w:rFonts w:hint="eastAsia" w:hAnsi="Times New Roman" w:cs="Times New Roman"/>
          <w:color w:val="000000" w:themeColor="text1"/>
          <w:szCs w:val="22"/>
        </w:rPr>
        <w:t>聚焦生物安全领域主要风险，建立健全生物安全风险防控和治理体系，保障人民生命健康。完善生物安全风险监测预警制度，定期开展生物安全风险调查评估，提高生物安全风险识别和分析能力，从源头检测和遏制生物威胁。防范应对疫病疫情传入和外来有害物种、生物入侵，深化生物资源和生态平衡研究，保护生物资源和生态环境。建立生物安全信息共享制度，实现生物安全联防联控。</w:t>
      </w:r>
    </w:p>
    <w:p>
      <w:pPr>
        <w:ind w:firstLine="640"/>
        <w:rPr>
          <w:rFonts w:hAnsi="Times New Roman" w:cs="Times New Roman"/>
          <w:color w:val="000000" w:themeColor="text1"/>
          <w:szCs w:val="22"/>
        </w:rPr>
      </w:pPr>
      <w:r>
        <w:rPr>
          <w:rFonts w:hint="eastAsia" w:hAnsi="Times New Roman" w:cs="Times New Roman"/>
          <w:color w:val="000000" w:themeColor="text1"/>
          <w:szCs w:val="22"/>
        </w:rPr>
        <w:t>强化维护网络安全。切实维护网络意识形态安全，增强网络安全防护和应急处置能力，争创全省网络综合治理示范区。提升管网治网水平，实施“锡朗网络综合治理工程”，探索构建市域性网络综合治理体系。建强市网络安全应急指挥中心，建成覆盖市、市（县）区两级的网络安全应急指挥中心、网络安全综合管理平台，建设全域性城市网络安全防护体系，构建高效可用的网络安全态势感知和预警平台。增强国家计算机网络与信息安全管理中心江苏分中心无锡技术支撑中心、江苏省网络空间安全（无锡）实训基地功能，推动网络安全学科建设和人才培养。培育发展网络安全产业，推广应用区块链等新技术，建设网络安全高端产业基地。</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198" w:name="_Toc56155361"/>
      <w:bookmarkStart w:id="199" w:name="_Toc66870242"/>
      <w:bookmarkStart w:id="200" w:name="_Toc55236689"/>
      <w:r>
        <w:rPr>
          <w:rFonts w:ascii="Times New Roman" w:hAnsi="Times New Roman" w:eastAsia="方正楷体_GBK" w:cs="Times New Roman"/>
          <w:bCs/>
          <w:color w:val="000000" w:themeColor="text1"/>
          <w:szCs w:val="32"/>
        </w:rPr>
        <w:t>第五节  全面加强安全生产</w:t>
      </w:r>
      <w:bookmarkEnd w:id="198"/>
      <w:bookmarkEnd w:id="199"/>
      <w:bookmarkEnd w:id="200"/>
    </w:p>
    <w:p>
      <w:pPr>
        <w:ind w:firstLine="640"/>
        <w:rPr>
          <w:rFonts w:hAnsi="Times New Roman" w:cs="Times New Roman"/>
          <w:szCs w:val="22"/>
        </w:rPr>
      </w:pPr>
      <w:r>
        <w:rPr>
          <w:rFonts w:hint="eastAsia" w:hAnsi="Times New Roman" w:cs="Times New Roman"/>
          <w:szCs w:val="22"/>
        </w:rPr>
        <w:t>坚持以人民安全为宗旨，牢固树立安全发展意识，把人民生命安全摆在首位，深入推进安全生产治理体系和治理能力现代化，筑牢本质安全底线。到2025年，全市安全生产事故起数、死亡人数持续压降，较大事故和有影响的事故得到有效遏制，坚决杜绝重特大事故的发生。</w:t>
      </w:r>
    </w:p>
    <w:p>
      <w:pPr>
        <w:ind w:firstLine="640"/>
        <w:rPr>
          <w:rFonts w:hAnsi="Times New Roman" w:cs="Times New Roman"/>
          <w:szCs w:val="22"/>
        </w:rPr>
      </w:pPr>
      <w:r>
        <w:rPr>
          <w:rFonts w:hint="eastAsia" w:hAnsi="Times New Roman" w:cs="Times New Roman"/>
          <w:szCs w:val="22"/>
        </w:rPr>
        <w:t>完善安全生产长效机制。健全安全生产地方性法规，完善安全生产工作职责清单制度，落实最严格的安全监管措施和安全生产考核制度，建立健全安全风险辨识管控和事故隐患排查治理体系，推进智能监管监测预警系统建设，构建市、市（县）区两级安全生产巡查网络。加强危险化学品、冶金等工贸行业、消防、道路交通、建筑施工等重点行业领域专项整治，实现排查见底、整改彻底。实施安全生产专业技能提升工程，开展安全相关专业技术人才继续教育，加强安全监管人员、企业主要负责人和员工安全培训。推动在锡高校职校设立安全应急相关专业，加强专业化人才储备。深化安全生产宣传教育，普及安全生产相关法律法规，提高全民安全意识，创建国家安全发展示范城市。</w:t>
      </w:r>
    </w:p>
    <w:p>
      <w:pPr>
        <w:ind w:firstLine="640"/>
        <w:rPr>
          <w:rFonts w:hAnsi="Times New Roman" w:cs="Times New Roman"/>
          <w:szCs w:val="22"/>
        </w:rPr>
      </w:pPr>
      <w:r>
        <w:rPr>
          <w:rFonts w:hint="eastAsia" w:hAnsi="Times New Roman" w:cs="Times New Roman"/>
          <w:szCs w:val="22"/>
        </w:rPr>
        <w:t>强化重点领域安全监管。加强食品安全监管，严格落实食品安全责任制，开展食品安全整治，建设国家市场监管技术创新中心，创建国家食品安全示范城市。到2025年，食品抽检量达到10批次/千人。突出药品、医疗器械、化妆品、保健食品等高风险产品监管，加强疫苗流通、预防接种环节质量安全管理，强化药械流通使用专项检查、不良反应事件监测，消除用药用械安全隐患。严格特种设备安全监管，推进特种设备安全全链条、全生命周期智慧监管，重点推进“智慧电梯”项目建设，提高特种设备安全监管效率。加强产品质量安全监管，定期开展监督抽查，防范区域性、行业性质量事故。加强桥梁健康监测，保障桥梁安全运行。</w:t>
      </w:r>
    </w:p>
    <w:p>
      <w:pPr>
        <w:ind w:firstLine="640"/>
        <w:rPr>
          <w:rFonts w:hAnsi="Times New Roman" w:cs="Times New Roman"/>
          <w:szCs w:val="22"/>
        </w:rPr>
      </w:pPr>
      <w:r>
        <w:rPr>
          <w:rFonts w:hint="eastAsia" w:hAnsi="Times New Roman" w:cs="Times New Roman"/>
          <w:szCs w:val="22"/>
        </w:rPr>
        <w:t>加快推进科技兴安。组建安全技术支撑中心，加强安全科技基础研究和应用研究，全面深化金属冶炼、粉尘涉爆、危险化学品、建筑施工等传统行业领域安全技术革新与设备升级改造，着力推动风险隐患较大的领域环节实施机械化换人、自动化减人，积极推广新工艺、新设备、新材料，有效降低安全风险。运用光纤传感、智能雷达、视频识别等先进技术，开展重点行业风险监测预警和自动防控，推广应用监测预警、智能化巡检和安防系统等安全防护防控产品。</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01" w:name="_Toc66870243"/>
      <w:r>
        <w:rPr>
          <w:rFonts w:ascii="Times New Roman" w:hAnsi="Times New Roman" w:eastAsia="方正楷体_GBK" w:cs="Times New Roman"/>
          <w:bCs/>
          <w:color w:val="000000" w:themeColor="text1"/>
          <w:szCs w:val="32"/>
        </w:rPr>
        <w:t>第六节  提高社会</w:t>
      </w:r>
      <w:bookmarkEnd w:id="196"/>
      <w:bookmarkEnd w:id="197"/>
      <w:r>
        <w:rPr>
          <w:rFonts w:ascii="Times New Roman" w:hAnsi="Times New Roman" w:eastAsia="方正楷体_GBK" w:cs="Times New Roman"/>
          <w:bCs/>
          <w:color w:val="000000" w:themeColor="text1"/>
          <w:szCs w:val="32"/>
        </w:rPr>
        <w:t>公共安全保障能力</w:t>
      </w:r>
      <w:bookmarkEnd w:id="201"/>
    </w:p>
    <w:p>
      <w:pPr>
        <w:ind w:firstLine="640"/>
        <w:rPr>
          <w:rFonts w:hAnsi="Times New Roman" w:cs="Times New Roman"/>
          <w:color w:val="000000" w:themeColor="text1"/>
          <w:szCs w:val="22"/>
        </w:rPr>
      </w:pPr>
      <w:r>
        <w:rPr>
          <w:rFonts w:hint="eastAsia" w:hAnsi="Times New Roman" w:cs="Times New Roman"/>
          <w:color w:val="000000" w:themeColor="text1"/>
          <w:szCs w:val="22"/>
        </w:rPr>
        <w:t>正确处理新形势下人民内部矛盾，预防化解社会矛盾，完善社会治安防控体系，全力维护社会安定和谐。</w:t>
      </w:r>
    </w:p>
    <w:p>
      <w:pPr>
        <w:ind w:firstLine="640"/>
        <w:rPr>
          <w:rFonts w:hAnsi="Times New Roman" w:cs="Times New Roman"/>
          <w:color w:val="000000" w:themeColor="text1"/>
          <w:szCs w:val="22"/>
        </w:rPr>
      </w:pPr>
      <w:r>
        <w:rPr>
          <w:rFonts w:hint="eastAsia" w:hAnsi="Times New Roman" w:cs="Times New Roman"/>
          <w:color w:val="000000" w:themeColor="text1"/>
          <w:szCs w:val="22"/>
        </w:rPr>
        <w:t>完善社会矛盾纠纷化解机制。坚持和发展新时代“枫桥经验”，加快构建“最多跑一地服务零距离”矛盾纠纷多元化解工作体系，加强调解员队伍建设，形成人民调解、行政调解、司法调解“大调解”格局，畅通和规范群众诉求表达、利益协调、权益保障通道，实现矛盾纠纷“一窗口受理、一站式服务、一体化运行、一揽子解决”。构建源头防控、排查梳理、纠纷化解、应急处置的社会矛盾综合治理机制，提高源头防范矛盾风险能力，确保将矛盾化解在萌芽、处置在基层，有效压降民事行政案件万人起诉率。推进信访工作专业化、法治化、信息化、标准化建设，落实完善信访工作责任体系、接访下访制度和联席会议机制，优化“一访定心”等工作机制，提高信访智能平台综合功能，深化治理重复信访，有效化解信访积案。</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社会治安防控体系建设。深化全国社会治安防控体系建设示范城市创建，加快新一代“雪亮工程”联网共享应用体系建设，全面推进智慧街面巡防、智慧安防小区、智慧内保、智慧公交地铁等重点领域安防工程建设，提高社会治安动态智能感知、全域掌控能力。完善专群结合、群防群治、人技融合的社会治安网络，建立信息数据资源整合共享机制，完善“锡证通”共治平台，促进问题联治、工作联动、平安联创，建成整体性协同性精准性更强、一体化智能化水平更高的社会治安防控体系。完善扫黑除恶常态化工作机制，坚决防范和打击新型网络犯罪、跨国犯罪等违法犯罪。</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特殊人群动态管控机制。建立健全齐抓共管、综合施策的组织管理体系，全面提升重点青少年、社区矫正和刑满释放人员、易肇事肇祸精神病人、吸毒人员、涉邪人员等特殊人群整体服务管理水平，推动困境未成年人社会保护和特困刑事被害人救助，完善社会心理服务体系和危机干预机制。</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02" w:name="_Toc55236691"/>
      <w:bookmarkStart w:id="203" w:name="_Toc56155363"/>
      <w:bookmarkStart w:id="204" w:name="_Toc66870244"/>
      <w:r>
        <w:rPr>
          <w:rFonts w:ascii="Times New Roman" w:hAnsi="Times New Roman" w:eastAsia="方正楷体_GBK" w:cs="Times New Roman"/>
          <w:bCs/>
          <w:color w:val="000000" w:themeColor="text1"/>
          <w:szCs w:val="32"/>
        </w:rPr>
        <w:t>第七节  完善应急管理体系</w:t>
      </w:r>
      <w:bookmarkEnd w:id="202"/>
      <w:bookmarkEnd w:id="203"/>
      <w:bookmarkEnd w:id="204"/>
    </w:p>
    <w:p>
      <w:pPr>
        <w:ind w:firstLine="640"/>
        <w:rPr>
          <w:rFonts w:hAnsi="Times New Roman" w:cs="Times New Roman"/>
          <w:color w:val="000000" w:themeColor="text1"/>
          <w:szCs w:val="22"/>
        </w:rPr>
      </w:pPr>
      <w:r>
        <w:rPr>
          <w:rFonts w:hint="eastAsia" w:hAnsi="Times New Roman" w:cs="Times New Roman"/>
          <w:color w:val="000000" w:themeColor="text1"/>
          <w:szCs w:val="22"/>
        </w:rPr>
        <w:t>深化健全应急管理体制机制，加强应急物资保障体系建设，全面提高防灾、减灾、抗灾、救灾能力。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加强应急预案动态管理体系建设。强化应急管理组织体系建设，健全部门联动、军地协调、区域合作、社会参与等工作机制。完善多层次广覆盖的应急预案体系，强化应急预案分级分类管理，推动应急预案建设向社区、企业、学校等基层单位和重点部位延伸。建立完善预案动态调整机制，严格落实应急演练年度计划，积极动员公众参与各类应急演练，强化演练评估，突出跨区域、跨行业综合性演练，提倡无脚本“双盲”演练。建设智能化应急预案管理系统，实现应急预案数字化管理。</w:t>
      </w:r>
    </w:p>
    <w:p>
      <w:pPr>
        <w:ind w:firstLine="640"/>
        <w:rPr>
          <w:rFonts w:hAnsi="Times New Roman" w:cs="Times New Roman"/>
          <w:color w:val="000000" w:themeColor="text1"/>
          <w:szCs w:val="22"/>
        </w:rPr>
      </w:pPr>
      <w:r>
        <w:rPr>
          <w:rFonts w:hint="eastAsia" w:hAnsi="Times New Roman" w:cs="Times New Roman"/>
          <w:color w:val="000000" w:themeColor="text1"/>
          <w:szCs w:val="22"/>
        </w:rPr>
        <w:t>健全应急物资保障和储备体系。优化物资储备品种规模和结构布局，形成通用物资和专用物资相支撑的物资储备格局。编制修订市级救灾物资储备规划、品种目录，建立健全市级救灾物资的收储、轮换、日常管理和调拨制度。实施应急物资保障能力提升工程，建立应急物资指挥调度、物资需求信息、物流资源信息、通道及环境信息等实时呈现的应急物资指挥调度数据平台。推进粮食和物资储备基础设施建设，加快实施粮食物流科技中心二期工程项目，促进应急物资储备专业化与社会化有机结合，提高粮食和物资储备能力。</w:t>
      </w:r>
    </w:p>
    <w:p>
      <w:pPr>
        <w:ind w:firstLine="640"/>
        <w:rPr>
          <w:rFonts w:hAnsi="Times New Roman" w:cs="Times New Roman"/>
          <w:color w:val="000000" w:themeColor="text1"/>
          <w:szCs w:val="22"/>
        </w:rPr>
      </w:pPr>
      <w:r>
        <w:rPr>
          <w:rFonts w:hint="eastAsia" w:hAnsi="Times New Roman" w:cs="Times New Roman"/>
          <w:color w:val="000000" w:themeColor="text1"/>
          <w:szCs w:val="22"/>
        </w:rPr>
        <w:t>增强防灾减灾救灾能力。实施自然灾害防治重点工程，加强防灾减灾骨干工程建设，健全自然灾害防治处置体系，全面提升气象、水文、地震、地质等多灾种和灾害链综合监测、风险识别、预警预报、精准治理水平，加强水、电、气等地下管道和重点企业、学校、医院、商场等重要设施安全运行监测，提高重点防洪工程以及园林安全、森林防火等重点领域安全保障能力。开展自然灾害综合风险普查，健全灾害预报预警及应急联动机制，完善灾害事故信息发布制度。加快应急避难场所建设，加</w:t>
      </w:r>
      <w:r>
        <w:rPr>
          <w:rFonts w:hAnsi="Times New Roman" w:cs="Times New Roman"/>
          <w:color w:val="000000" w:themeColor="text1"/>
          <w:szCs w:val="22"/>
        </w:rPr>
        <w:t>强</w:t>
      </w:r>
      <w:r>
        <w:rPr>
          <w:rFonts w:hint="eastAsia" w:hAnsi="Times New Roman" w:cs="Times New Roman"/>
          <w:color w:val="000000" w:themeColor="text1"/>
          <w:szCs w:val="22"/>
        </w:rPr>
        <w:t>灾后恢复生产、重建损毁房屋和设施能力建设。推进防灾减灾知识宣传和普及教育，创建全国综合减灾示范县（市、区）和示范社区。</w:t>
      </w:r>
    </w:p>
    <w:p>
      <w:pPr>
        <w:ind w:firstLine="640"/>
        <w:rPr>
          <w:rFonts w:hAnsi="Times New Roman" w:cs="Times New Roman"/>
          <w:color w:val="000000" w:themeColor="text1"/>
          <w:szCs w:val="22"/>
        </w:rPr>
      </w:pPr>
      <w:r>
        <w:rPr>
          <w:rFonts w:hint="eastAsia" w:hAnsi="Times New Roman" w:cs="Times New Roman"/>
          <w:color w:val="000000" w:themeColor="text1"/>
          <w:szCs w:val="22"/>
        </w:rPr>
        <w:t>提升应急救援能力。建立完善应急指挥体系，强化应急救援力量建设。科学规划专业应急救援队伍规模布局，建成24小时常态化紧急救援网络，形成“市区半小时覆盖”“市（县）1.5小时到达”综合应急救援圈。加强综合应急救援队建设，实现应急队伍“一专多能”，满足跨地区、跨行业重大事故的快速高效救援需要。发展社会应急服务体系，发挥专家咨询和辅助决策作用，建立健全与市内驻军、武警部队的应急联动机制，提高应对处置突发公共事件的能力水平。完善应急队伍、装备和物资数据管理系统，实现数据动态更新和资源共享。以化工园区为重点，加强工业园区环境风险防控体系和应急处置能力建设。依托江苏沿江（江阴）危险化学品应急救援基地建设，提高危险化学品应急救援物资储备和区域服务保障能力，创建国家级应急救援基地。</w:t>
      </w:r>
      <w:r>
        <w:rPr>
          <w:rFonts w:hint="eastAsia"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0"/>
        <w:rPr>
          <w:rFonts w:ascii="Times New Roman" w:hAnsi="Times New Roman" w:eastAsia="方正小标宋_GBK" w:cs="Times New Roman"/>
          <w:bCs/>
          <w:color w:val="000000" w:themeColor="text1"/>
          <w:kern w:val="44"/>
          <w:szCs w:val="44"/>
        </w:rPr>
      </w:pPr>
      <w:bookmarkStart w:id="205" w:name="_Toc55236692"/>
      <w:bookmarkStart w:id="206" w:name="_Toc66870245"/>
      <w:r>
        <w:rPr>
          <w:rFonts w:ascii="Times New Roman" w:hAnsi="Times New Roman" w:eastAsia="方正小标宋_GBK" w:cs="Times New Roman"/>
          <w:bCs/>
          <w:color w:val="000000" w:themeColor="text1"/>
          <w:kern w:val="44"/>
          <w:szCs w:val="44"/>
        </w:rPr>
        <w:t>第三篇  实施保障</w:t>
      </w:r>
      <w:bookmarkEnd w:id="205"/>
      <w:bookmarkEnd w:id="206"/>
    </w:p>
    <w:p>
      <w:pPr>
        <w:ind w:firstLine="640"/>
        <w:rPr>
          <w:rFonts w:hAnsi="Times New Roman" w:cs="Times New Roman"/>
          <w:szCs w:val="22"/>
        </w:rPr>
      </w:pPr>
      <w:r>
        <w:rPr>
          <w:rFonts w:hint="eastAsia" w:hAnsi="Times New Roman" w:cs="Times New Roman"/>
          <w:szCs w:val="22"/>
        </w:rPr>
        <w:t>坚持依法编制发展规划，依法推进规划实施的理念，严格按照省、市发展规划条例有关规定，履行政府职责，创新载体项目支撑和各类要素保障，确保规划目标和重点任务顺利实现。</w:t>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207" w:name="_Toc55236693"/>
      <w:bookmarkStart w:id="208" w:name="_Toc66870246"/>
      <w:r>
        <w:rPr>
          <w:rFonts w:ascii="Times New Roman" w:hAnsi="Times New Roman" w:eastAsia="方正黑体_GBK" w:cs="Times New Roman"/>
          <w:bCs/>
          <w:color w:val="000000" w:themeColor="text1"/>
          <w:szCs w:val="32"/>
        </w:rPr>
        <w:t xml:space="preserve">第十六章  </w:t>
      </w:r>
      <w:bookmarkEnd w:id="207"/>
      <w:r>
        <w:rPr>
          <w:rFonts w:ascii="Times New Roman" w:hAnsi="Times New Roman" w:eastAsia="方正黑体_GBK" w:cs="Times New Roman"/>
          <w:bCs/>
          <w:color w:val="000000" w:themeColor="text1"/>
          <w:szCs w:val="32"/>
        </w:rPr>
        <w:t>完善规划组织实施体系</w:t>
      </w:r>
      <w:bookmarkEnd w:id="208"/>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09" w:name="_Toc55236694"/>
      <w:bookmarkStart w:id="210" w:name="_Toc66870247"/>
      <w:r>
        <w:rPr>
          <w:rFonts w:ascii="Times New Roman" w:hAnsi="Times New Roman" w:eastAsia="方正楷体_GBK" w:cs="Times New Roman"/>
          <w:bCs/>
          <w:color w:val="000000" w:themeColor="text1"/>
          <w:szCs w:val="32"/>
        </w:rPr>
        <w:t>第一节  加强党对规划实施的全面领导</w:t>
      </w:r>
      <w:bookmarkEnd w:id="209"/>
      <w:bookmarkEnd w:id="210"/>
    </w:p>
    <w:p>
      <w:pPr>
        <w:ind w:firstLine="640"/>
        <w:rPr>
          <w:rFonts w:hAnsi="Times New Roman" w:cs="Times New Roman"/>
        </w:rPr>
      </w:pPr>
      <w:r>
        <w:rPr>
          <w:rFonts w:hint="eastAsia" w:hAnsi="Times New Roman" w:cs="Times New Roman"/>
        </w:rPr>
        <w:t>完善党集中统一领导经济社会发展的制度性安排，加强对经济社会重大事务的综合协调，发挥把方向、管大局、保落实的作用，把党的领导始终贯穿“十四五”规划组织实施各领域全过程。全面贯彻新时代党的组织路线，加强干部队伍建设，提高各级领导班子和干部适应新时代新要求抓改革、促发展、保稳定水平和专业化能力，确保各项决策部署落实到位。充分发挥各级党组织和党员的“两个作用”，领导和团结全市人民为实现“十四五”规划目标任务共同奋斗。</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1" w:name="_Toc55236695"/>
      <w:bookmarkStart w:id="212" w:name="_Toc66870248"/>
      <w:r>
        <w:rPr>
          <w:rFonts w:ascii="Times New Roman" w:hAnsi="Times New Roman" w:eastAsia="方正楷体_GBK" w:cs="Times New Roman"/>
          <w:bCs/>
          <w:color w:val="000000" w:themeColor="text1"/>
          <w:szCs w:val="32"/>
        </w:rPr>
        <w:t>第二节  完善统一规划体系</w:t>
      </w:r>
      <w:bookmarkEnd w:id="211"/>
      <w:bookmarkEnd w:id="212"/>
    </w:p>
    <w:p>
      <w:pPr>
        <w:ind w:firstLine="640"/>
        <w:rPr>
          <w:rFonts w:hAnsi="Times New Roman" w:cs="Times New Roman"/>
          <w:color w:val="000000" w:themeColor="text1"/>
          <w:szCs w:val="22"/>
        </w:rPr>
      </w:pPr>
      <w:r>
        <w:rPr>
          <w:rFonts w:hint="eastAsia" w:hAnsi="Times New Roman" w:cs="Times New Roman"/>
          <w:color w:val="000000" w:themeColor="text1"/>
        </w:rPr>
        <w:t>强化市级发展规划统领作用，全面建立以市级发展规划为统领、空间规划为基础、专项规划为支撑的市级规划体系。突出市级发展规划的战略性、宏观性和政策性，聚焦事关长远发展的重大战略、具有全局影响的重大政策、支撑高质量发展的重大工程项目，为各类规划系统落实市级决策部署和战略安排提供遵循。发挥市级发展规划统筹重大战略和重大举措的时空安排功能，提出重大生产力布局、空间发展格局和空间结构优化方向，为市级国土空间规划留出接口。根据市级发展规划明确的主攻领域和重点区域，为制定市级专项规</w:t>
      </w:r>
      <w:r>
        <w:rPr>
          <w:rFonts w:hint="eastAsia" w:hAnsi="Times New Roman" w:cs="Times New Roman"/>
          <w:color w:val="000000" w:themeColor="text1"/>
          <w:szCs w:val="22"/>
        </w:rPr>
        <w:t>划提供依据。适时修订《无锡市发展规划条例》。</w:t>
      </w:r>
    </w:p>
    <w:p>
      <w:pPr>
        <w:tabs>
          <w:tab w:val="left" w:pos="6855"/>
        </w:tabs>
        <w:ind w:firstLine="640"/>
        <w:rPr>
          <w:rFonts w:ascii="Times New Roman" w:hAnsi="Times New Roman" w:cs="Times New Roman"/>
          <w:color w:val="000000" w:themeColor="text1"/>
          <w:szCs w:val="22"/>
        </w:rPr>
      </w:pPr>
      <w:r>
        <w:rPr>
          <w:rFonts w:ascii="Times New Roman" w:hAnsi="Times New Roman" w:cs="Times New Roman"/>
          <w:color w:val="000000" w:themeColor="text1"/>
          <w:szCs w:val="22"/>
        </w:rPr>
        <w:tab/>
      </w: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3" w:name="_Toc55236696"/>
      <w:bookmarkStart w:id="214" w:name="_Toc66870249"/>
      <w:r>
        <w:rPr>
          <w:rFonts w:ascii="Times New Roman" w:hAnsi="Times New Roman" w:eastAsia="方正楷体_GBK" w:cs="Times New Roman"/>
          <w:bCs/>
          <w:color w:val="000000" w:themeColor="text1"/>
          <w:szCs w:val="32"/>
        </w:rPr>
        <w:t xml:space="preserve">第三节  </w:t>
      </w:r>
      <w:bookmarkEnd w:id="213"/>
      <w:r>
        <w:rPr>
          <w:rFonts w:ascii="Times New Roman" w:hAnsi="Times New Roman" w:eastAsia="方正楷体_GBK" w:cs="Times New Roman"/>
          <w:bCs/>
          <w:color w:val="000000" w:themeColor="text1"/>
          <w:szCs w:val="32"/>
        </w:rPr>
        <w:t>健全规划衔接协调机制</w:t>
      </w:r>
      <w:bookmarkEnd w:id="214"/>
    </w:p>
    <w:p>
      <w:pPr>
        <w:ind w:firstLine="640"/>
        <w:rPr>
          <w:rFonts w:hAnsi="Times New Roman" w:cs="Times New Roman"/>
          <w:color w:val="000000" w:themeColor="text1"/>
          <w:szCs w:val="22"/>
        </w:rPr>
      </w:pPr>
      <w:r>
        <w:rPr>
          <w:rFonts w:hint="eastAsia" w:hAnsi="Times New Roman" w:cs="Times New Roman"/>
          <w:color w:val="000000" w:themeColor="text1"/>
        </w:rPr>
        <w:t>统筹规划全程管理，完善目录清单、衔接审核、实施备案等管理制度。规范规划编制方案，全面履行前期研究、拟定草案、征求意见、衔接论证、审核批准、规划发布等编制程序。坚持下位规划服从上位规划、下级规划服务上级规划、等位规划相互协调，市级其他规划服从市级发展规划，相关规划互不矛盾的原则，构建纵向衔接、横向协调的规划衔接机制</w:t>
      </w:r>
      <w:r>
        <w:rPr>
          <w:rFonts w:hint="eastAsia" w:hAnsi="Times New Roman" w:cs="Times New Roman"/>
          <w:color w:val="000000" w:themeColor="text1"/>
          <w:szCs w:val="22"/>
        </w:rPr>
        <w:t>。加快实现规划信息互联互通和归集共享，提高规划管理水平和效率。</w:t>
      </w:r>
      <w:r>
        <w:rPr>
          <w:rFonts w:hint="eastAsia" w:hAnsi="Times New Roman" w:cs="Times New Roman"/>
          <w:color w:val="000000" w:themeColor="text1"/>
          <w:szCs w:val="22"/>
        </w:rPr>
        <w:br w:type="page"/>
      </w:r>
    </w:p>
    <w:p>
      <w:pPr>
        <w:ind w:firstLine="640"/>
        <w:rPr>
          <w:rFonts w:ascii="Times New Roman" w:hAnsi="Times New Roman" w:cs="Times New Roman"/>
          <w:color w:val="000000" w:themeColor="text1"/>
          <w:szCs w:val="22"/>
        </w:rPr>
      </w:pPr>
    </w:p>
    <w:p>
      <w:pPr>
        <w:keepNext/>
        <w:keepLines/>
        <w:ind w:firstLine="0" w:firstLineChars="0"/>
        <w:jc w:val="center"/>
        <w:outlineLvl w:val="1"/>
        <w:rPr>
          <w:rFonts w:ascii="Times New Roman" w:hAnsi="Times New Roman" w:eastAsia="方正黑体_GBK" w:cs="Times New Roman"/>
          <w:bCs/>
          <w:color w:val="000000" w:themeColor="text1"/>
          <w:szCs w:val="32"/>
        </w:rPr>
      </w:pPr>
      <w:bookmarkStart w:id="215" w:name="_Toc66870250"/>
      <w:bookmarkStart w:id="216" w:name="_Toc55236697"/>
      <w:r>
        <w:rPr>
          <w:rFonts w:ascii="Times New Roman" w:hAnsi="Times New Roman" w:eastAsia="方正黑体_GBK" w:cs="Times New Roman"/>
          <w:bCs/>
          <w:color w:val="000000" w:themeColor="text1"/>
          <w:szCs w:val="32"/>
        </w:rPr>
        <w:t>第十七章  创新规划实施机制</w:t>
      </w:r>
      <w:bookmarkEnd w:id="215"/>
      <w:bookmarkEnd w:id="216"/>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7" w:name="_Toc66870251"/>
      <w:bookmarkStart w:id="218" w:name="_Toc55236698"/>
      <w:r>
        <w:rPr>
          <w:rFonts w:ascii="Times New Roman" w:hAnsi="Times New Roman" w:eastAsia="方正楷体_GBK" w:cs="Times New Roman"/>
          <w:bCs/>
          <w:color w:val="000000" w:themeColor="text1"/>
          <w:szCs w:val="32"/>
        </w:rPr>
        <w:t>第一节  加强评估考核监督</w:t>
      </w:r>
      <w:bookmarkEnd w:id="217"/>
      <w:bookmarkEnd w:id="218"/>
    </w:p>
    <w:p>
      <w:pPr>
        <w:ind w:firstLine="640"/>
        <w:rPr>
          <w:rFonts w:hAnsi="Times New Roman" w:cs="Times New Roman"/>
          <w:color w:val="000000" w:themeColor="text1"/>
          <w:szCs w:val="22"/>
        </w:rPr>
      </w:pPr>
      <w:r>
        <w:rPr>
          <w:rFonts w:hint="eastAsia" w:hAnsi="Times New Roman" w:cs="Times New Roman"/>
          <w:color w:val="000000" w:themeColor="text1"/>
          <w:szCs w:val="22"/>
        </w:rPr>
        <w:t>坚持政府自我评估和社会第三方评估相结合，完善规划动态评估、跟踪、预警机制，健全年度监测分析—中期评估—总结评估的全过程动态规划评估体系，严格规划动态调整和修订机制。细化分解规划目标任务，把实施情况纳入高质量发展年度考核，探索实行规划实施考核结果与被考核责任主体绩效相挂钩机制。加强规划执行监督，自觉接受人大、审计和社会监督，保障规划严格落实。充分运用信息技术和大数据资源，提高分析评价的客观性、科学性和精准性。</w:t>
      </w:r>
    </w:p>
    <w:p>
      <w:pPr>
        <w:ind w:firstLine="640"/>
        <w:rPr>
          <w:rFonts w:ascii="Times New Roman"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19" w:name="_Toc66870252"/>
      <w:bookmarkStart w:id="220" w:name="_Toc55236699"/>
      <w:r>
        <w:rPr>
          <w:rFonts w:ascii="Times New Roman" w:hAnsi="Times New Roman" w:eastAsia="方正楷体_GBK" w:cs="Times New Roman"/>
          <w:bCs/>
          <w:color w:val="000000" w:themeColor="text1"/>
          <w:szCs w:val="32"/>
        </w:rPr>
        <w:t>第二节  推进政策协同保障</w:t>
      </w:r>
      <w:bookmarkEnd w:id="219"/>
      <w:bookmarkEnd w:id="220"/>
    </w:p>
    <w:p>
      <w:pPr>
        <w:ind w:firstLine="640"/>
        <w:rPr>
          <w:rFonts w:hAnsi="Times New Roman" w:cs="Times New Roman"/>
          <w:color w:val="000000" w:themeColor="text1"/>
          <w:szCs w:val="22"/>
        </w:rPr>
      </w:pPr>
      <w:r>
        <w:rPr>
          <w:rFonts w:hint="eastAsia" w:hAnsi="Times New Roman" w:cs="Times New Roman"/>
          <w:color w:val="000000" w:themeColor="text1"/>
          <w:szCs w:val="22"/>
        </w:rPr>
        <w:t>完善重大发展战略和中长期经济社会发展规划制度，健全以发展规划为战略导向的政策协同体系。加强年度计划落实，分解市级发展规划主要指标，体现市级发展规划年度实施重点。编制与市级发展规划相匹配的财政专项规划，合理安排财政支出，优先投向市级发展规划确定的重点任务、重大政策和重大工程项目。推动金融资本优先支持市级发展规划确定的重大战略、重大工程项目和重大改革开放举措。健全土地、人才、环保、能源等要素保障与市级发展规划匹配机制，促进重大生产力布局和就业、产业、投资、消费、区域等公共政策制定相协调，更好服从和服务于市级发展规划。</w:t>
      </w:r>
    </w:p>
    <w:p>
      <w:pPr>
        <w:ind w:firstLine="640"/>
        <w:rPr>
          <w:rFonts w:hAnsi="Times New Roman" w:cs="Times New Roman"/>
          <w:color w:val="000000" w:themeColor="text1"/>
          <w:szCs w:val="22"/>
        </w:rPr>
      </w:pPr>
    </w:p>
    <w:p>
      <w:pPr>
        <w:keepNext/>
        <w:keepLines/>
        <w:ind w:firstLine="0" w:firstLineChars="0"/>
        <w:jc w:val="center"/>
        <w:outlineLvl w:val="2"/>
        <w:rPr>
          <w:rFonts w:ascii="Times New Roman" w:hAnsi="Times New Roman" w:eastAsia="方正楷体_GBK" w:cs="Times New Roman"/>
          <w:bCs/>
          <w:color w:val="000000" w:themeColor="text1"/>
          <w:szCs w:val="32"/>
        </w:rPr>
      </w:pPr>
      <w:bookmarkStart w:id="221" w:name="_Toc55236700"/>
      <w:bookmarkStart w:id="222" w:name="_Toc66870253"/>
      <w:r>
        <w:rPr>
          <w:rFonts w:ascii="Times New Roman" w:hAnsi="Times New Roman" w:eastAsia="方正楷体_GBK" w:cs="Times New Roman"/>
          <w:bCs/>
          <w:color w:val="000000" w:themeColor="text1"/>
          <w:szCs w:val="32"/>
        </w:rPr>
        <w:t>第三节  广泛凝聚社会力量</w:t>
      </w:r>
      <w:bookmarkEnd w:id="221"/>
      <w:bookmarkEnd w:id="222"/>
    </w:p>
    <w:p>
      <w:pPr>
        <w:ind w:firstLine="640"/>
        <w:rPr>
          <w:rFonts w:hAnsi="Times New Roman" w:cs="Times New Roman"/>
          <w:szCs w:val="22"/>
        </w:rPr>
      </w:pPr>
      <w:r>
        <w:rPr>
          <w:rFonts w:hint="eastAsia" w:hAnsi="Times New Roman" w:cs="Times New Roman"/>
          <w:szCs w:val="22"/>
        </w:rPr>
        <w:t>推行规划政务信息公开，健全政府与企业、社会的信息沟通和交流机制，鼓励市场主体、社会力量和人民群众参与规划编制实施。创新和丰富宣传形式，及时报道规划实施新成效新做法，营造良好舆论环境。加强对外宣传，讲好无锡故事，传播好无锡声音，形成更广泛、更深入、更全面支持“强富美高”新无锡新篇章建设、勇做全省“争当表率、争做示范、走在前列”排头兵的强大动力和活力。</w:t>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640"/>
        <w:rPr>
          <w:rFonts w:ascii="Times New Roman" w:hAnsi="Times New Roman" w:cs="Times New Roman"/>
          <w:color w:val="000000" w:themeColor="text1"/>
        </w:rPr>
      </w:pPr>
    </w:p>
    <w:p>
      <w:pPr>
        <w:pStyle w:val="2"/>
        <w:jc w:val="left"/>
        <w:rPr>
          <w:rFonts w:ascii="Times New Roman" w:hAnsi="Times New Roman" w:cs="Times New Roman"/>
          <w:color w:val="000000" w:themeColor="text1"/>
        </w:rPr>
      </w:pPr>
      <w:bookmarkStart w:id="223" w:name="_Toc66870254"/>
      <w:r>
        <w:rPr>
          <w:rFonts w:ascii="Times New Roman" w:hAnsi="Times New Roman" w:cs="Times New Roman"/>
          <w:color w:val="000000" w:themeColor="text1"/>
        </w:rPr>
        <w:t>附图：</w:t>
      </w:r>
      <w:bookmarkEnd w:id="223"/>
    </w:p>
    <w:p>
      <w:pPr>
        <w:ind w:firstLine="640"/>
        <w:rPr>
          <w:rFonts w:hAnsi="Times New Roman" w:cs="Times New Roman"/>
          <w:color w:val="000000" w:themeColor="text1"/>
          <w:szCs w:val="32"/>
        </w:rPr>
      </w:pPr>
    </w:p>
    <w:p>
      <w:pPr>
        <w:ind w:firstLine="640"/>
        <w:rPr>
          <w:rFonts w:hAnsi="Times New Roman" w:cs="Times New Roman"/>
          <w:color w:val="000000" w:themeColor="text1"/>
          <w:szCs w:val="32"/>
        </w:rPr>
      </w:pPr>
      <w:r>
        <w:rPr>
          <w:rFonts w:hint="eastAsia" w:hAnsi="Times New Roman" w:cs="Times New Roman"/>
          <w:color w:val="000000" w:themeColor="text1"/>
          <w:szCs w:val="32"/>
        </w:rPr>
        <w:t>1．无锡市域城镇空间结构图</w:t>
      </w:r>
    </w:p>
    <w:p>
      <w:pPr>
        <w:ind w:firstLine="640"/>
        <w:rPr>
          <w:rFonts w:hAnsi="Times New Roman" w:cs="Times New Roman"/>
          <w:color w:val="000000" w:themeColor="text1"/>
          <w:szCs w:val="32"/>
        </w:rPr>
      </w:pPr>
      <w:r>
        <w:rPr>
          <w:rFonts w:hint="eastAsia" w:hAnsi="Times New Roman" w:cs="Times New Roman"/>
          <w:color w:val="000000" w:themeColor="text1"/>
          <w:szCs w:val="32"/>
        </w:rPr>
        <w:t>2．无锡市太湖湾科技创新带规划示意图</w:t>
      </w:r>
    </w:p>
    <w:p>
      <w:pPr>
        <w:ind w:firstLine="640"/>
        <w:rPr>
          <w:rFonts w:hAnsi="Times New Roman" w:cs="Times New Roman"/>
          <w:color w:val="000000" w:themeColor="text1"/>
          <w:szCs w:val="32"/>
        </w:rPr>
      </w:pPr>
      <w:r>
        <w:rPr>
          <w:rFonts w:hint="eastAsia" w:hAnsi="Times New Roman" w:cs="Times New Roman"/>
          <w:color w:val="000000" w:themeColor="text1"/>
          <w:szCs w:val="32"/>
        </w:rPr>
        <w:t>3．无锡市“十四五”铁路网规划布局图</w:t>
      </w:r>
    </w:p>
    <w:p>
      <w:pPr>
        <w:ind w:firstLine="640"/>
        <w:rPr>
          <w:rFonts w:hAnsi="Times New Roman" w:cs="Times New Roman"/>
          <w:color w:val="000000" w:themeColor="text1"/>
          <w:szCs w:val="32"/>
        </w:rPr>
      </w:pPr>
      <w:r>
        <w:rPr>
          <w:rFonts w:hint="eastAsia" w:hAnsi="Times New Roman" w:cs="Times New Roman"/>
          <w:color w:val="000000" w:themeColor="text1"/>
          <w:szCs w:val="32"/>
        </w:rPr>
        <w:t>4．无锡市城市轨道交通线网规划图</w:t>
      </w:r>
    </w:p>
    <w:p>
      <w:pPr>
        <w:ind w:firstLine="640"/>
        <w:rPr>
          <w:rFonts w:hAnsi="Times New Roman" w:cs="Times New Roman"/>
          <w:color w:val="000000" w:themeColor="text1"/>
          <w:szCs w:val="32"/>
        </w:rPr>
      </w:pPr>
      <w:r>
        <w:rPr>
          <w:rFonts w:hint="eastAsia" w:hAnsi="Times New Roman" w:cs="Times New Roman"/>
          <w:color w:val="000000" w:themeColor="text1"/>
          <w:szCs w:val="32"/>
        </w:rPr>
        <w:t>5．无锡市“十四五”公路及城</w:t>
      </w:r>
      <w:r>
        <w:rPr>
          <w:rFonts w:hAnsi="Times New Roman" w:cs="Times New Roman"/>
          <w:color w:val="000000" w:themeColor="text1"/>
          <w:szCs w:val="32"/>
        </w:rPr>
        <w:t>市</w:t>
      </w:r>
      <w:r>
        <w:rPr>
          <w:rFonts w:hint="eastAsia" w:hAnsi="Times New Roman" w:cs="Times New Roman"/>
          <w:color w:val="000000" w:themeColor="text1"/>
          <w:szCs w:val="32"/>
        </w:rPr>
        <w:t>快速路规划布局图</w:t>
      </w:r>
    </w:p>
    <w:p>
      <w:pPr>
        <w:ind w:firstLine="640"/>
        <w:rPr>
          <w:rFonts w:hAnsi="Times New Roman" w:cs="Times New Roman"/>
          <w:color w:val="000000" w:themeColor="text1"/>
          <w:szCs w:val="32"/>
        </w:rPr>
      </w:pPr>
      <w:r>
        <w:rPr>
          <w:rFonts w:hint="eastAsia" w:hAnsi="Times New Roman" w:cs="Times New Roman"/>
          <w:color w:val="000000" w:themeColor="text1"/>
          <w:szCs w:val="32"/>
        </w:rPr>
        <w:t>6．无锡市“十四五”港口及航道规划布局图</w:t>
      </w:r>
    </w:p>
    <w:p>
      <w:pPr>
        <w:ind w:firstLine="0" w:firstLineChars="0"/>
        <w:rPr>
          <w:rFonts w:ascii="Times New Roman" w:hAnsi="Times New Roman" w:cs="Times New Roman"/>
          <w:color w:val="000000" w:themeColor="text1"/>
          <w:szCs w:val="22"/>
        </w:rPr>
      </w:pP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br w:type="page"/>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t>附图1</w:t>
      </w:r>
    </w:p>
    <w:p>
      <w:pPr>
        <w:ind w:firstLine="0" w:firstLineChars="0"/>
        <w:jc w:val="center"/>
        <w:rPr>
          <w:rFonts w:ascii="Times New Roman" w:hAnsi="Times New Roman" w:eastAsia="方正小标宋_GBK" w:cs="Times New Roman"/>
          <w:color w:val="000000" w:themeColor="text1"/>
          <w:sz w:val="36"/>
          <w:szCs w:val="36"/>
        </w:rPr>
      </w:pPr>
    </w:p>
    <w:p>
      <w:pPr>
        <w:ind w:firstLine="0" w:firstLineChars="0"/>
        <w:jc w:val="center"/>
        <w:rPr>
          <w:rFonts w:ascii="Times New Roman" w:hAnsi="Times New Roman" w:eastAsia="方正小标宋_GBK" w:cs="Times New Roman"/>
          <w:color w:val="000000" w:themeColor="text1"/>
          <w:sz w:val="36"/>
          <w:szCs w:val="36"/>
        </w:rPr>
      </w:pPr>
      <w:r>
        <w:rPr>
          <w:rFonts w:ascii="Times New Roman" w:hAnsi="Times New Roman" w:eastAsia="方正小标宋_GBK" w:cs="Times New Roman"/>
          <w:color w:val="000000" w:themeColor="text1"/>
          <w:sz w:val="36"/>
          <w:szCs w:val="36"/>
        </w:rPr>
        <w:t>无锡市域城镇空间结构图</w:t>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drawing>
          <wp:inline distT="0" distB="0" distL="0" distR="0">
            <wp:extent cx="5615940" cy="6565900"/>
            <wp:effectExtent l="0" t="0" r="381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5940" cy="6565900"/>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t>附图2</w:t>
      </w:r>
    </w:p>
    <w:p>
      <w:pPr>
        <w:ind w:firstLine="0" w:firstLineChars="0"/>
        <w:rPr>
          <w:rFonts w:ascii="Times New Roman" w:hAnsi="Times New Roman" w:cs="Times New Roman"/>
          <w:color w:val="000000" w:themeColor="text1"/>
          <w:szCs w:val="22"/>
        </w:rPr>
      </w:pPr>
    </w:p>
    <w:p>
      <w:pPr>
        <w:widowControl/>
        <w:ind w:firstLine="0" w:firstLineChars="0"/>
        <w:jc w:val="center"/>
        <w:rPr>
          <w:rFonts w:ascii="Times New Roman" w:hAnsi="Times New Roman" w:eastAsia="方正小标宋_GBK" w:cs="Times New Roman"/>
          <w:bCs/>
          <w:color w:val="000000" w:themeColor="text1"/>
          <w:sz w:val="36"/>
          <w:szCs w:val="36"/>
        </w:rPr>
      </w:pPr>
      <w:r>
        <w:rPr>
          <w:rFonts w:ascii="Times New Roman" w:hAnsi="Times New Roman" w:eastAsia="方正小标宋_GBK" w:cs="Times New Roman"/>
          <w:color w:val="000000" w:themeColor="text1"/>
          <w:sz w:val="36"/>
          <w:szCs w:val="36"/>
        </w:rPr>
        <w:t>无锡市太湖湾科技创新带规划示意图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ind w:firstLine="0" w:firstLineChars="0"/>
        <w:rPr>
          <w:rFonts w:ascii="Times New Roman" w:hAnsi="Times New Roman" w:cs="Times New Roman"/>
          <w:color w:val="000000" w:themeColor="text1"/>
          <w:szCs w:val="22"/>
        </w:rPr>
      </w:pPr>
      <w:r>
        <w:rPr>
          <w:rFonts w:ascii="Times New Roman" w:hAnsi="Times New Roman" w:cs="Times New Roman"/>
          <w:color w:val="000000" w:themeColor="text1"/>
          <w:szCs w:val="22"/>
        </w:rPr>
        <w:t>附图3</w:t>
      </w:r>
    </w:p>
    <w:p>
      <w:pPr>
        <w:ind w:firstLine="0" w:firstLineChars="0"/>
        <w:rPr>
          <w:rFonts w:ascii="Times New Roman" w:hAnsi="Times New Roman" w:cs="Times New Roman"/>
          <w:color w:val="000000" w:themeColor="text1"/>
          <w:szCs w:val="22"/>
        </w:rPr>
      </w:pPr>
    </w:p>
    <w:p>
      <w:pPr>
        <w:widowControl/>
        <w:ind w:firstLine="0" w:firstLineChars="0"/>
        <w:jc w:val="center"/>
        <w:rPr>
          <w:rFonts w:ascii="方正小标宋_GBK" w:hAnsi="Times New Roman" w:eastAsia="方正小标宋_GBK" w:cs="Times New Roman"/>
          <w:bCs/>
          <w:color w:val="000000" w:themeColor="text1"/>
          <w:sz w:val="36"/>
          <w:szCs w:val="36"/>
        </w:rPr>
      </w:pPr>
      <w:r>
        <w:rPr>
          <w:rFonts w:hint="eastAsia" w:ascii="方正小标宋_GBK" w:hAnsi="Times New Roman" w:eastAsia="方正小标宋_GBK" w:cs="Times New Roman"/>
          <w:color w:val="000000" w:themeColor="text1"/>
          <w:sz w:val="36"/>
          <w:szCs w:val="36"/>
        </w:rPr>
        <w:t>无锡市“十四五”铁路网规划布局图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widowControl/>
        <w:ind w:firstLine="0" w:firstLineChars="0"/>
        <w:jc w:val="left"/>
        <w:rPr>
          <w:rFonts w:ascii="Times New Roman" w:hAnsi="Times New Roman" w:cs="Times New Roman"/>
          <w:color w:val="000000" w:themeColor="text1"/>
          <w:szCs w:val="32"/>
        </w:rPr>
      </w:pPr>
      <w:r>
        <w:rPr>
          <w:rFonts w:ascii="Times New Roman" w:hAnsi="Times New Roman" w:cs="Times New Roman"/>
          <w:color w:val="000000" w:themeColor="text1"/>
          <w:szCs w:val="22"/>
        </w:rPr>
        <w:t>附图4</w:t>
      </w:r>
    </w:p>
    <w:p>
      <w:pPr>
        <w:widowControl/>
        <w:ind w:firstLine="0" w:firstLineChars="0"/>
        <w:jc w:val="center"/>
        <w:rPr>
          <w:rFonts w:ascii="Times New Roman" w:hAnsi="Times New Roman" w:eastAsia="方正小标宋_GBK" w:cs="Times New Roman"/>
          <w:color w:val="000000" w:themeColor="text1"/>
          <w:sz w:val="36"/>
          <w:szCs w:val="36"/>
        </w:rPr>
      </w:pPr>
    </w:p>
    <w:p>
      <w:pPr>
        <w:widowControl/>
        <w:ind w:firstLine="0" w:firstLineChars="0"/>
        <w:jc w:val="center"/>
        <w:rPr>
          <w:rFonts w:ascii="Times New Roman" w:hAnsi="Times New Roman" w:cs="Times New Roman"/>
          <w:bCs/>
          <w:color w:val="000000" w:themeColor="text1"/>
        </w:rPr>
      </w:pPr>
      <w:r>
        <w:rPr>
          <w:rFonts w:ascii="Times New Roman" w:hAnsi="Times New Roman" w:eastAsia="方正小标宋_GBK" w:cs="Times New Roman"/>
          <w:color w:val="000000" w:themeColor="text1"/>
          <w:sz w:val="36"/>
          <w:szCs w:val="36"/>
        </w:rPr>
        <w:t>无锡市城市轨道交通线网规划图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t>附图5</w:t>
      </w:r>
    </w:p>
    <w:p>
      <w:pPr>
        <w:widowControl/>
        <w:ind w:firstLine="0" w:firstLineChars="0"/>
        <w:jc w:val="left"/>
        <w:rPr>
          <w:rFonts w:ascii="Times New Roman" w:hAnsi="Times New Roman" w:cs="Times New Roman"/>
          <w:color w:val="000000" w:themeColor="text1"/>
          <w:szCs w:val="22"/>
        </w:rPr>
      </w:pPr>
    </w:p>
    <w:p>
      <w:pPr>
        <w:widowControl/>
        <w:ind w:firstLine="0" w:firstLineChars="0"/>
        <w:jc w:val="center"/>
        <w:rPr>
          <w:rFonts w:ascii="方正小标宋_GBK" w:hAnsi="Times New Roman" w:eastAsia="方正小标宋_GBK" w:cs="Times New Roman"/>
          <w:color w:val="000000" w:themeColor="text1"/>
          <w:sz w:val="36"/>
          <w:szCs w:val="36"/>
        </w:rPr>
      </w:pPr>
      <w:r>
        <w:rPr>
          <w:rFonts w:hint="eastAsia" w:ascii="方正小标宋_GBK" w:hAnsi="Times New Roman" w:eastAsia="方正小标宋_GBK" w:cs="Times New Roman"/>
          <w:color w:val="000000" w:themeColor="text1"/>
          <w:sz w:val="36"/>
          <w:szCs w:val="36"/>
        </w:rPr>
        <w:t>无锡市“十四五”公路及城市快速路规划布局图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0225" cy="3962400"/>
            <wp:effectExtent l="0" t="0" r="9525" b="0"/>
            <wp:docPr id="4" name="图片 4" descr="E:\规划处\2020年\十四五规划\市规划纲要\附图\2103新附图\5十四五公路及城市快速路规划布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规划处\2020年\十四五规划\市规划纲要\附图\2103新附图\5十四五公路及城市快速路规划布局图.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610225" cy="3962400"/>
                    </a:xfrm>
                    <a:prstGeom prst="rect">
                      <a:avLst/>
                    </a:prstGeom>
                    <a:noFill/>
                    <a:ln>
                      <a:noFill/>
                    </a:ln>
                  </pic:spPr>
                </pic:pic>
              </a:graphicData>
            </a:graphic>
          </wp:inline>
        </w:drawing>
      </w:r>
    </w:p>
    <w:p>
      <w:pPr>
        <w:widowControl/>
        <w:ind w:firstLine="0" w:firstLineChars="0"/>
        <w:jc w:val="left"/>
        <w:rPr>
          <w:rFonts w:ascii="Times New Roman" w:hAnsi="Times New Roman" w:cs="Times New Roman"/>
          <w:bCs/>
          <w:color w:val="000000" w:themeColor="text1"/>
        </w:rPr>
      </w:pP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br w:type="page"/>
      </w:r>
    </w:p>
    <w:p>
      <w:pPr>
        <w:widowControl/>
        <w:ind w:firstLine="0" w:firstLineChars="0"/>
        <w:jc w:val="left"/>
        <w:rPr>
          <w:rFonts w:ascii="Times New Roman" w:hAnsi="Times New Roman" w:cs="Times New Roman"/>
          <w:color w:val="000000" w:themeColor="text1"/>
          <w:szCs w:val="22"/>
        </w:rPr>
      </w:pPr>
      <w:r>
        <w:rPr>
          <w:rFonts w:ascii="Times New Roman" w:hAnsi="Times New Roman" w:cs="Times New Roman"/>
          <w:color w:val="000000" w:themeColor="text1"/>
          <w:szCs w:val="22"/>
        </w:rPr>
        <w:t>附图6</w:t>
      </w:r>
    </w:p>
    <w:p>
      <w:pPr>
        <w:widowControl/>
        <w:ind w:firstLine="0" w:firstLineChars="0"/>
        <w:jc w:val="left"/>
        <w:rPr>
          <w:rFonts w:ascii="Times New Roman" w:hAnsi="Times New Roman" w:cs="Times New Roman"/>
          <w:bCs/>
          <w:color w:val="000000" w:themeColor="text1"/>
        </w:rPr>
      </w:pPr>
    </w:p>
    <w:p>
      <w:pPr>
        <w:widowControl/>
        <w:ind w:firstLine="0" w:firstLineChars="0"/>
        <w:jc w:val="center"/>
        <w:rPr>
          <w:rFonts w:ascii="方正小标宋_GBK" w:hAnsi="Times New Roman" w:eastAsia="方正小标宋_GBK" w:cs="Times New Roman"/>
          <w:bCs/>
          <w:color w:val="000000" w:themeColor="text1"/>
          <w:sz w:val="36"/>
          <w:szCs w:val="36"/>
        </w:rPr>
      </w:pPr>
      <w:r>
        <w:rPr>
          <w:rFonts w:hint="eastAsia" w:ascii="方正小标宋_GBK" w:hAnsi="Times New Roman" w:eastAsia="方正小标宋_GBK" w:cs="Times New Roman"/>
          <w:color w:val="000000" w:themeColor="text1"/>
          <w:sz w:val="36"/>
          <w:szCs w:val="36"/>
        </w:rPr>
        <w:t>无锡市“十四五”港口及航道规划布局图</w:t>
      </w:r>
    </w:p>
    <w:p>
      <w:pPr>
        <w:widowControl/>
        <w:ind w:firstLine="0" w:firstLineChars="0"/>
        <w:jc w:val="left"/>
        <w:rPr>
          <w:rFonts w:ascii="Times New Roman" w:hAnsi="Times New Roman" w:cs="Times New Roman"/>
          <w:bCs/>
          <w:color w:val="000000" w:themeColor="text1"/>
        </w:rPr>
      </w:pPr>
      <w:r>
        <w:rPr>
          <w:rFonts w:ascii="Times New Roman" w:hAnsi="Times New Roman" w:cs="Times New Roman"/>
          <w:bCs/>
          <w:color w:val="000000" w:themeColor="text1"/>
        </w:rPr>
        <w:drawing>
          <wp:inline distT="0" distB="0" distL="0" distR="0">
            <wp:extent cx="5615940" cy="396303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5940" cy="3963035"/>
                    </a:xfrm>
                    <a:prstGeom prst="rect">
                      <a:avLst/>
                    </a:prstGeom>
                  </pic:spPr>
                </pic:pic>
              </a:graphicData>
            </a:graphic>
          </wp:inline>
        </w:drawing>
      </w:r>
    </w:p>
    <w:p>
      <w:pPr>
        <w:widowControl/>
        <w:ind w:firstLine="0" w:firstLineChars="0"/>
        <w:jc w:val="left"/>
        <w:rPr>
          <w:rFonts w:ascii="Times New Roman" w:hAnsi="Times New Roman" w:cs="Times New Roman"/>
          <w:bCs/>
        </w:rPr>
      </w:pPr>
    </w:p>
    <w:sectPr>
      <w:headerReference r:id="rId15" w:type="first"/>
      <w:footerReference r:id="rId18" w:type="first"/>
      <w:headerReference r:id="rId13" w:type="default"/>
      <w:footerReference r:id="rId16" w:type="default"/>
      <w:headerReference r:id="rId14" w:type="even"/>
      <w:footerReference r:id="rId17" w:type="even"/>
      <w:pgSz w:w="11906" w:h="16838"/>
      <w:pgMar w:top="1701" w:right="1474" w:bottom="1701" w:left="1588"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32"/>
      </w:pPr>
      <w:r>
        <w:separator/>
      </w:r>
    </w:p>
  </w:endnote>
  <w:endnote w:type="continuationSeparator" w:id="1">
    <w:p>
      <w:pPr>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方正小标宋_GBK">
    <w:panose1 w:val="02000000000000000000"/>
    <w:charset w:val="86"/>
    <w:family w:val="script"/>
    <w:pitch w:val="default"/>
    <w:sig w:usb0="A00002BF" w:usb1="38CF7CFA" w:usb2="00082016" w:usb3="00000000" w:csb0="00040001" w:csb1="00000000"/>
  </w:font>
  <w:font w:name="方正黑体_GBK">
    <w:panose1 w:val="02000000000000000000"/>
    <w:charset w:val="86"/>
    <w:family w:val="script"/>
    <w:pitch w:val="default"/>
    <w:sig w:usb0="A00002BF" w:usb1="38CF7CFA" w:usb2="00082016" w:usb3="00000000" w:csb0="00040001" w:csb1="00000000"/>
  </w:font>
  <w:font w:name="方正楷体_GBK">
    <w:panose1 w:val="02000000000000000000"/>
    <w:charset w:val="86"/>
    <w:family w:val="script"/>
    <w:pitch w:val="default"/>
    <w:sig w:usb0="A00002BF" w:usb1="38CF7CFA" w:usb2="00082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rPr>
        <w:rFonts w:hAnsi="Times New Roman" w:cs="Times New Roman"/>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2296397"/>
      <w:docPartObj>
        <w:docPartGallery w:val="AutoText"/>
      </w:docPartObj>
    </w:sdtPr>
    <w:sdtEndPr>
      <w:rPr>
        <w:rFonts w:hint="eastAsia" w:hAnsi="Times New Roman" w:cs="Times New Roman"/>
        <w:sz w:val="28"/>
      </w:rPr>
    </w:sdtEndPr>
    <w:sdtContent>
      <w:p>
        <w:pPr>
          <w:pStyle w:val="13"/>
          <w:wordWrap w:val="0"/>
          <w:ind w:firstLine="0" w:firstLineChars="0"/>
          <w:jc w:val="right"/>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5</w:t>
        </w:r>
        <w:r>
          <w:rPr>
            <w:rFonts w:ascii="Times New Roman" w:hAnsi="Times New Roman" w:cs="Times New Roman"/>
            <w:sz w:val="28"/>
          </w:rPr>
          <w:fldChar w:fldCharType="end"/>
        </w:r>
        <w:r>
          <w:rPr>
            <w:rFonts w:hint="eastAsia" w:hAnsi="Times New Roman" w:cs="Times New Roman"/>
            <w:sz w:val="28"/>
          </w:rPr>
          <w:t xml:space="preserve"> —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9484858"/>
      <w:docPartObj>
        <w:docPartGallery w:val="AutoText"/>
      </w:docPartObj>
    </w:sdtPr>
    <w:sdtEndPr>
      <w:rPr>
        <w:rFonts w:hint="eastAsia" w:hAnsi="Times New Roman" w:cs="Times New Roman"/>
        <w:sz w:val="28"/>
      </w:rPr>
    </w:sdtEndPr>
    <w:sdtContent>
      <w:p>
        <w:pPr>
          <w:pStyle w:val="13"/>
          <w:ind w:firstLine="180" w:firstLineChars="100"/>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6</w:t>
        </w:r>
        <w:r>
          <w:rPr>
            <w:rFonts w:ascii="Times New Roman" w:hAnsi="Times New Roman" w:cs="Times New Roman"/>
            <w:sz w:val="28"/>
          </w:rPr>
          <w:fldChar w:fldCharType="end"/>
        </w:r>
        <w:r>
          <w:rPr>
            <w:rFonts w:hint="eastAsia" w:hAnsi="Times New Roman" w:cs="Times New Roman"/>
            <w:sz w:val="28"/>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3830908"/>
      <w:docPartObj>
        <w:docPartGallery w:val="AutoText"/>
      </w:docPartObj>
    </w:sdtPr>
    <w:sdtEndPr>
      <w:rPr>
        <w:sz w:val="28"/>
        <w:szCs w:val="28"/>
      </w:rPr>
    </w:sdtEndPr>
    <w:sdtContent>
      <w:sdt>
        <w:sdtPr>
          <w:id w:val="1745226662"/>
          <w:docPartObj>
            <w:docPartGallery w:val="AutoText"/>
          </w:docPartObj>
        </w:sdtPr>
        <w:sdtEndPr>
          <w:rPr>
            <w:rFonts w:hint="eastAsia" w:hAnsi="Times New Roman" w:cs="Times New Roman"/>
            <w:sz w:val="28"/>
          </w:rPr>
        </w:sdtEndPr>
        <w:sdtContent>
          <w:p>
            <w:pPr>
              <w:pStyle w:val="13"/>
              <w:wordWrap w:val="0"/>
              <w:ind w:firstLine="0" w:firstLineChars="0"/>
              <w:jc w:val="right"/>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133</w:t>
            </w:r>
            <w:r>
              <w:rPr>
                <w:rFonts w:ascii="Times New Roman" w:hAnsi="Times New Roman" w:cs="Times New Roman"/>
                <w:sz w:val="28"/>
              </w:rPr>
              <w:fldChar w:fldCharType="end"/>
            </w:r>
            <w:r>
              <w:rPr>
                <w:rFonts w:hint="eastAsia" w:hAnsi="Times New Roman" w:cs="Times New Roman"/>
                <w:sz w:val="28"/>
              </w:rPr>
              <w:t xml:space="preserve"> —  </w:t>
            </w: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1743491"/>
      <w:docPartObj>
        <w:docPartGallery w:val="AutoText"/>
      </w:docPartObj>
    </w:sdtPr>
    <w:sdtEndPr>
      <w:rPr>
        <w:rFonts w:hint="eastAsia" w:hAnsi="Times New Roman" w:cs="Times New Roman"/>
        <w:sz w:val="28"/>
      </w:rPr>
    </w:sdtEndPr>
    <w:sdtContent>
      <w:p>
        <w:pPr>
          <w:pStyle w:val="13"/>
          <w:ind w:firstLine="180" w:firstLineChars="100"/>
          <w:rPr>
            <w:rFonts w:hAnsi="Times New Roman" w:cs="Times New Roman"/>
            <w:sz w:val="28"/>
          </w:rPr>
        </w:pPr>
        <w:r>
          <w:rPr>
            <w:rFonts w:hint="eastAsia"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132</w:t>
        </w:r>
        <w:r>
          <w:rPr>
            <w:rFonts w:ascii="Times New Roman" w:hAnsi="Times New Roman" w:cs="Times New Roman"/>
            <w:sz w:val="28"/>
          </w:rPr>
          <w:fldChar w:fldCharType="end"/>
        </w:r>
        <w:r>
          <w:rPr>
            <w:rFonts w:hint="eastAsia" w:hAnsi="Times New Roman" w:cs="Times New Roman"/>
            <w:sz w:val="28"/>
          </w:rPr>
          <w:t xml:space="preserve"> —</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pPr>
        <w:ind w:firstLine="632"/>
      </w:pPr>
      <w:r>
        <w:separator/>
      </w:r>
    </w:p>
  </w:footnote>
  <w:footnote w:type="continuationSeparator" w:id="9">
    <w:p>
      <w:pPr>
        <w:ind w:firstLine="632"/>
      </w:pPr>
      <w:r>
        <w:continuationSeparator/>
      </w:r>
    </w:p>
  </w:footnote>
  <w:footnote w:id="0">
    <w:p>
      <w:pPr>
        <w:pStyle w:val="17"/>
      </w:pPr>
      <w:r>
        <w:rPr>
          <w:rStyle w:val="27"/>
        </w:rPr>
        <w:footnoteRef/>
      </w:r>
      <w:r>
        <w:t xml:space="preserve"> </w:t>
      </w:r>
      <w:r>
        <w:rPr>
          <w:rFonts w:hint="eastAsia" w:ascii="方正仿宋_GBK" w:eastAsia="方正仿宋_GBK"/>
        </w:rPr>
        <w:t>“五坚持五提升”：坚持党管人才，提升政治引领力；坚持产才融合，提升人才驱动力；坚持工程牵引，提升人才集聚力；坚持改革创新，提升人才创造力；坚持优化服务，提升环境竞争力。</w:t>
      </w:r>
    </w:p>
  </w:footnote>
  <w:footnote w:id="1">
    <w:p>
      <w:pPr>
        <w:pStyle w:val="17"/>
        <w:rPr>
          <w:rFonts w:ascii="方正仿宋_GBK" w:eastAsia="方正仿宋_GBK"/>
        </w:rPr>
      </w:pPr>
      <w:r>
        <w:rPr>
          <w:rStyle w:val="27"/>
        </w:rPr>
        <w:footnoteRef/>
      </w:r>
      <w:r>
        <w:t xml:space="preserve"> </w:t>
      </w:r>
      <w:r>
        <w:rPr>
          <w:rFonts w:hint="eastAsia" w:ascii="方正仿宋_GBK" w:eastAsia="方正仿宋_GBK"/>
        </w:rPr>
        <w:t>“16+4”先进制造业集群：物联网、集成电路、高端纺织服装、高端装备、高端软件、节能环保、特钢、高分子材料、电子新材料、电子元器件、新能源、汽车及零部件（含新能源汽车）、云计算和大数据、生物医药和医疗器械（材）、高技术船舶和海工装备等16个先进制造业重点产业集群。5G产业、人工智能、石墨烯、增材制造等4个未来产业集群。</w:t>
      </w:r>
    </w:p>
  </w:footnote>
  <w:footnote w:id="2">
    <w:p>
      <w:pPr>
        <w:pStyle w:val="17"/>
        <w:ind w:firstLine="420"/>
        <w:rPr>
          <w:sz w:val="21"/>
          <w:szCs w:val="21"/>
        </w:rPr>
      </w:pPr>
      <w:r>
        <w:rPr>
          <w:rStyle w:val="27"/>
          <w:sz w:val="21"/>
          <w:szCs w:val="21"/>
        </w:rPr>
        <w:footnoteRef/>
      </w:r>
      <w:r>
        <w:rPr>
          <w:sz w:val="21"/>
          <w:szCs w:val="21"/>
        </w:rPr>
        <w:t xml:space="preserve"> </w:t>
      </w:r>
      <w:r>
        <w:rPr>
          <w:rFonts w:hint="eastAsia" w:ascii="方正仿宋_GBK" w:eastAsia="方正仿宋_GBK"/>
          <w:sz w:val="21"/>
          <w:szCs w:val="21"/>
        </w:rPr>
        <w:t>“2+</w:t>
      </w:r>
      <w:r>
        <w:rPr>
          <w:rFonts w:ascii="方正仿宋_GBK" w:eastAsia="方正仿宋_GBK"/>
          <w:sz w:val="21"/>
          <w:szCs w:val="21"/>
        </w:rPr>
        <w:t>4</w:t>
      </w:r>
      <w:r>
        <w:rPr>
          <w:rFonts w:hint="eastAsia" w:ascii="方正仿宋_GBK" w:eastAsia="方正仿宋_GBK"/>
          <w:sz w:val="21"/>
          <w:szCs w:val="21"/>
        </w:rPr>
        <w:t>”高铁枢纽群：即高铁无锡东站、无锡站+高</w:t>
      </w:r>
      <w:r>
        <w:rPr>
          <w:rFonts w:ascii="方正仿宋_GBK" w:eastAsia="方正仿宋_GBK"/>
          <w:sz w:val="21"/>
          <w:szCs w:val="21"/>
        </w:rPr>
        <w:t>铁</w:t>
      </w:r>
      <w:r>
        <w:rPr>
          <w:rFonts w:hint="eastAsia" w:ascii="方正仿宋_GBK" w:eastAsia="方正仿宋_GBK"/>
          <w:sz w:val="21"/>
          <w:szCs w:val="21"/>
        </w:rPr>
        <w:t>惠山站、新区站、江阴站、宜兴站。</w:t>
      </w:r>
    </w:p>
  </w:footnote>
  <w:footnote w:id="3">
    <w:p>
      <w:pPr>
        <w:pStyle w:val="17"/>
      </w:pPr>
      <w:r>
        <w:rPr>
          <w:rStyle w:val="27"/>
        </w:rPr>
        <w:footnoteRef/>
      </w:r>
      <w:r>
        <w:t xml:space="preserve"> </w:t>
      </w:r>
      <w:r>
        <w:rPr>
          <w:rFonts w:hint="eastAsia" w:ascii="方正仿宋_GBK" w:eastAsia="方正仿宋_GBK"/>
        </w:rPr>
        <w:t>一城两核三片六组团：一城：中心城区；两核：梁溪老城核心区、太湖新城核心区；三片：锡澄协同发展区、锡宜协同发展区、锡东绿色发展区等三个片区；六组团：玉祁—前洲、洛社、阳山、东港—锡北、羊尖、鹅湖六个外围城镇组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evenAndOddHeaders w:val="1"/>
  <w:drawingGridHorizontalSpacing w:val="158"/>
  <w:drawingGridVerticalSpacing w:val="579"/>
  <w:displayHorizontalDrawingGridEvery w:val="0"/>
  <w:characterSpacingControl w:val="compressPunctuation"/>
  <w:footnotePr>
    <w:footnote w:id="8"/>
    <w:footnote w:id="9"/>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BmOWM3YWI4YjBjMDEzYzcwZTUxZjhhNDdhMDI5MjcifQ=="/>
  </w:docVars>
  <w:rsids>
    <w:rsidRoot w:val="00303BE6"/>
    <w:rsid w:val="00000AAB"/>
    <w:rsid w:val="00002257"/>
    <w:rsid w:val="0000226B"/>
    <w:rsid w:val="00002574"/>
    <w:rsid w:val="00002B25"/>
    <w:rsid w:val="00003671"/>
    <w:rsid w:val="0000458A"/>
    <w:rsid w:val="0000495C"/>
    <w:rsid w:val="00005110"/>
    <w:rsid w:val="000056DA"/>
    <w:rsid w:val="00005BEE"/>
    <w:rsid w:val="00006323"/>
    <w:rsid w:val="00006624"/>
    <w:rsid w:val="000070E3"/>
    <w:rsid w:val="00007972"/>
    <w:rsid w:val="00007A0D"/>
    <w:rsid w:val="00007A7B"/>
    <w:rsid w:val="00007EC1"/>
    <w:rsid w:val="0001089A"/>
    <w:rsid w:val="00010A55"/>
    <w:rsid w:val="000118C6"/>
    <w:rsid w:val="00011BB0"/>
    <w:rsid w:val="00012567"/>
    <w:rsid w:val="000129CF"/>
    <w:rsid w:val="00012CA8"/>
    <w:rsid w:val="00013257"/>
    <w:rsid w:val="000140F9"/>
    <w:rsid w:val="00014459"/>
    <w:rsid w:val="00015B60"/>
    <w:rsid w:val="0001752C"/>
    <w:rsid w:val="00017A2E"/>
    <w:rsid w:val="0002054E"/>
    <w:rsid w:val="00020E65"/>
    <w:rsid w:val="0002114B"/>
    <w:rsid w:val="000216AB"/>
    <w:rsid w:val="00021945"/>
    <w:rsid w:val="00022C89"/>
    <w:rsid w:val="00023590"/>
    <w:rsid w:val="00023992"/>
    <w:rsid w:val="0002399A"/>
    <w:rsid w:val="00024587"/>
    <w:rsid w:val="0002469A"/>
    <w:rsid w:val="00024A1A"/>
    <w:rsid w:val="00024D29"/>
    <w:rsid w:val="0002506E"/>
    <w:rsid w:val="000252F4"/>
    <w:rsid w:val="000254A4"/>
    <w:rsid w:val="000258E3"/>
    <w:rsid w:val="00025A49"/>
    <w:rsid w:val="00025B24"/>
    <w:rsid w:val="000261B7"/>
    <w:rsid w:val="00026BEC"/>
    <w:rsid w:val="00027A57"/>
    <w:rsid w:val="00027AA0"/>
    <w:rsid w:val="00030418"/>
    <w:rsid w:val="00030CED"/>
    <w:rsid w:val="00031035"/>
    <w:rsid w:val="00031189"/>
    <w:rsid w:val="0003184D"/>
    <w:rsid w:val="00032D6C"/>
    <w:rsid w:val="00033A44"/>
    <w:rsid w:val="0003561C"/>
    <w:rsid w:val="00036291"/>
    <w:rsid w:val="00036355"/>
    <w:rsid w:val="00036C62"/>
    <w:rsid w:val="00036DAA"/>
    <w:rsid w:val="00036F19"/>
    <w:rsid w:val="00037DD1"/>
    <w:rsid w:val="000401B1"/>
    <w:rsid w:val="000407BA"/>
    <w:rsid w:val="00040D27"/>
    <w:rsid w:val="000415B2"/>
    <w:rsid w:val="00043077"/>
    <w:rsid w:val="00043A4A"/>
    <w:rsid w:val="000440D0"/>
    <w:rsid w:val="00044AAC"/>
    <w:rsid w:val="000459E1"/>
    <w:rsid w:val="00045FE6"/>
    <w:rsid w:val="000465A1"/>
    <w:rsid w:val="000468CA"/>
    <w:rsid w:val="00046ADE"/>
    <w:rsid w:val="0004730C"/>
    <w:rsid w:val="000501AA"/>
    <w:rsid w:val="000504D0"/>
    <w:rsid w:val="00050E82"/>
    <w:rsid w:val="00051A09"/>
    <w:rsid w:val="00051A7C"/>
    <w:rsid w:val="00051AF7"/>
    <w:rsid w:val="00051EFE"/>
    <w:rsid w:val="000520BA"/>
    <w:rsid w:val="000522A1"/>
    <w:rsid w:val="00052CB3"/>
    <w:rsid w:val="0005379F"/>
    <w:rsid w:val="00053D82"/>
    <w:rsid w:val="00054721"/>
    <w:rsid w:val="0005522E"/>
    <w:rsid w:val="00055CE9"/>
    <w:rsid w:val="00055EC0"/>
    <w:rsid w:val="0005624D"/>
    <w:rsid w:val="0005629F"/>
    <w:rsid w:val="00056463"/>
    <w:rsid w:val="000567DF"/>
    <w:rsid w:val="00056D01"/>
    <w:rsid w:val="00056F99"/>
    <w:rsid w:val="00057FDC"/>
    <w:rsid w:val="000603A6"/>
    <w:rsid w:val="000603FC"/>
    <w:rsid w:val="00060911"/>
    <w:rsid w:val="00060F72"/>
    <w:rsid w:val="000620C5"/>
    <w:rsid w:val="00062DF9"/>
    <w:rsid w:val="000637C3"/>
    <w:rsid w:val="00063950"/>
    <w:rsid w:val="00063A3E"/>
    <w:rsid w:val="00063F3D"/>
    <w:rsid w:val="00064323"/>
    <w:rsid w:val="0006548D"/>
    <w:rsid w:val="00065C3B"/>
    <w:rsid w:val="0006613B"/>
    <w:rsid w:val="00066400"/>
    <w:rsid w:val="000669D0"/>
    <w:rsid w:val="00066EC9"/>
    <w:rsid w:val="000672FD"/>
    <w:rsid w:val="0006752F"/>
    <w:rsid w:val="000675DF"/>
    <w:rsid w:val="00070701"/>
    <w:rsid w:val="00070EC0"/>
    <w:rsid w:val="00071DE0"/>
    <w:rsid w:val="000723D5"/>
    <w:rsid w:val="00073234"/>
    <w:rsid w:val="00073E88"/>
    <w:rsid w:val="0007428B"/>
    <w:rsid w:val="00075E62"/>
    <w:rsid w:val="00075FF6"/>
    <w:rsid w:val="0007634B"/>
    <w:rsid w:val="000764B7"/>
    <w:rsid w:val="000767D2"/>
    <w:rsid w:val="00076AC1"/>
    <w:rsid w:val="000804C4"/>
    <w:rsid w:val="000808EC"/>
    <w:rsid w:val="00081094"/>
    <w:rsid w:val="00081566"/>
    <w:rsid w:val="00082146"/>
    <w:rsid w:val="000826F3"/>
    <w:rsid w:val="00083A6A"/>
    <w:rsid w:val="00083CA6"/>
    <w:rsid w:val="00083DB6"/>
    <w:rsid w:val="00084C02"/>
    <w:rsid w:val="000851DB"/>
    <w:rsid w:val="000855F3"/>
    <w:rsid w:val="00086E71"/>
    <w:rsid w:val="00086F31"/>
    <w:rsid w:val="00090021"/>
    <w:rsid w:val="00090AA1"/>
    <w:rsid w:val="00090F2C"/>
    <w:rsid w:val="0009150A"/>
    <w:rsid w:val="00091828"/>
    <w:rsid w:val="00091BC1"/>
    <w:rsid w:val="00092061"/>
    <w:rsid w:val="000933F0"/>
    <w:rsid w:val="00094379"/>
    <w:rsid w:val="00094B44"/>
    <w:rsid w:val="00096637"/>
    <w:rsid w:val="00096856"/>
    <w:rsid w:val="00096CC7"/>
    <w:rsid w:val="00097222"/>
    <w:rsid w:val="000974CD"/>
    <w:rsid w:val="00097FB9"/>
    <w:rsid w:val="000A18AB"/>
    <w:rsid w:val="000A1A11"/>
    <w:rsid w:val="000A2B2A"/>
    <w:rsid w:val="000A2B75"/>
    <w:rsid w:val="000A401D"/>
    <w:rsid w:val="000A5B26"/>
    <w:rsid w:val="000A6614"/>
    <w:rsid w:val="000A7FC5"/>
    <w:rsid w:val="000B04A6"/>
    <w:rsid w:val="000B09F9"/>
    <w:rsid w:val="000B209F"/>
    <w:rsid w:val="000B2C66"/>
    <w:rsid w:val="000B2CF3"/>
    <w:rsid w:val="000B3B20"/>
    <w:rsid w:val="000B412B"/>
    <w:rsid w:val="000B4B53"/>
    <w:rsid w:val="000B4C77"/>
    <w:rsid w:val="000B60D3"/>
    <w:rsid w:val="000B646B"/>
    <w:rsid w:val="000B671C"/>
    <w:rsid w:val="000B6C3C"/>
    <w:rsid w:val="000B7215"/>
    <w:rsid w:val="000B77B9"/>
    <w:rsid w:val="000B7A14"/>
    <w:rsid w:val="000B7E87"/>
    <w:rsid w:val="000C08C8"/>
    <w:rsid w:val="000C0A2A"/>
    <w:rsid w:val="000C0AB7"/>
    <w:rsid w:val="000C0E20"/>
    <w:rsid w:val="000C1641"/>
    <w:rsid w:val="000C1CB0"/>
    <w:rsid w:val="000C1F59"/>
    <w:rsid w:val="000C2C5E"/>
    <w:rsid w:val="000C311D"/>
    <w:rsid w:val="000C4198"/>
    <w:rsid w:val="000C4A48"/>
    <w:rsid w:val="000C6262"/>
    <w:rsid w:val="000C69A1"/>
    <w:rsid w:val="000C7420"/>
    <w:rsid w:val="000D0CE9"/>
    <w:rsid w:val="000D1AEC"/>
    <w:rsid w:val="000D1C12"/>
    <w:rsid w:val="000D2895"/>
    <w:rsid w:val="000D36EC"/>
    <w:rsid w:val="000D3876"/>
    <w:rsid w:val="000D41B8"/>
    <w:rsid w:val="000D420D"/>
    <w:rsid w:val="000D49B7"/>
    <w:rsid w:val="000D5D37"/>
    <w:rsid w:val="000D6460"/>
    <w:rsid w:val="000D6BAF"/>
    <w:rsid w:val="000D7EBD"/>
    <w:rsid w:val="000E0195"/>
    <w:rsid w:val="000E34D7"/>
    <w:rsid w:val="000E42A7"/>
    <w:rsid w:val="000E4AD4"/>
    <w:rsid w:val="000E59C4"/>
    <w:rsid w:val="000E5BA1"/>
    <w:rsid w:val="000E65FA"/>
    <w:rsid w:val="000E7169"/>
    <w:rsid w:val="000E730C"/>
    <w:rsid w:val="000E7355"/>
    <w:rsid w:val="000E7A79"/>
    <w:rsid w:val="000F00ED"/>
    <w:rsid w:val="000F0673"/>
    <w:rsid w:val="000F0A72"/>
    <w:rsid w:val="000F1724"/>
    <w:rsid w:val="000F48EB"/>
    <w:rsid w:val="000F4D5E"/>
    <w:rsid w:val="000F5A30"/>
    <w:rsid w:val="000F5B66"/>
    <w:rsid w:val="000F5CA7"/>
    <w:rsid w:val="000F66A6"/>
    <w:rsid w:val="000F7A4A"/>
    <w:rsid w:val="00100BE1"/>
    <w:rsid w:val="00101C1E"/>
    <w:rsid w:val="00102130"/>
    <w:rsid w:val="00105316"/>
    <w:rsid w:val="00106189"/>
    <w:rsid w:val="001065BD"/>
    <w:rsid w:val="001065F2"/>
    <w:rsid w:val="0010663B"/>
    <w:rsid w:val="001068A2"/>
    <w:rsid w:val="00107091"/>
    <w:rsid w:val="00107827"/>
    <w:rsid w:val="0011022A"/>
    <w:rsid w:val="00111008"/>
    <w:rsid w:val="00111381"/>
    <w:rsid w:val="00111BE0"/>
    <w:rsid w:val="00111F02"/>
    <w:rsid w:val="001120B2"/>
    <w:rsid w:val="0011224B"/>
    <w:rsid w:val="001134D8"/>
    <w:rsid w:val="001134ED"/>
    <w:rsid w:val="00113BAA"/>
    <w:rsid w:val="00113DF0"/>
    <w:rsid w:val="00113E4B"/>
    <w:rsid w:val="00115D79"/>
    <w:rsid w:val="001165BE"/>
    <w:rsid w:val="00116CB7"/>
    <w:rsid w:val="001172E3"/>
    <w:rsid w:val="00117DA5"/>
    <w:rsid w:val="0012061B"/>
    <w:rsid w:val="00120F79"/>
    <w:rsid w:val="00121991"/>
    <w:rsid w:val="00121E36"/>
    <w:rsid w:val="001220D0"/>
    <w:rsid w:val="00122193"/>
    <w:rsid w:val="001226B6"/>
    <w:rsid w:val="0012346A"/>
    <w:rsid w:val="0012434C"/>
    <w:rsid w:val="00124AA8"/>
    <w:rsid w:val="00125005"/>
    <w:rsid w:val="001256AA"/>
    <w:rsid w:val="00125F83"/>
    <w:rsid w:val="00126D99"/>
    <w:rsid w:val="001309D5"/>
    <w:rsid w:val="00132381"/>
    <w:rsid w:val="0013290D"/>
    <w:rsid w:val="00132A82"/>
    <w:rsid w:val="00132C3E"/>
    <w:rsid w:val="00133A58"/>
    <w:rsid w:val="00133E4C"/>
    <w:rsid w:val="00134D54"/>
    <w:rsid w:val="00134F97"/>
    <w:rsid w:val="00135514"/>
    <w:rsid w:val="00136D8C"/>
    <w:rsid w:val="00137800"/>
    <w:rsid w:val="00137E1B"/>
    <w:rsid w:val="00140C5D"/>
    <w:rsid w:val="0014112B"/>
    <w:rsid w:val="00142767"/>
    <w:rsid w:val="001435F0"/>
    <w:rsid w:val="001445E7"/>
    <w:rsid w:val="00144A26"/>
    <w:rsid w:val="00144E44"/>
    <w:rsid w:val="001453C3"/>
    <w:rsid w:val="00145452"/>
    <w:rsid w:val="00146176"/>
    <w:rsid w:val="0015011F"/>
    <w:rsid w:val="001512E7"/>
    <w:rsid w:val="00151FB7"/>
    <w:rsid w:val="00152497"/>
    <w:rsid w:val="001540E4"/>
    <w:rsid w:val="00154CAF"/>
    <w:rsid w:val="0015531D"/>
    <w:rsid w:val="0015593B"/>
    <w:rsid w:val="001560C5"/>
    <w:rsid w:val="001567F7"/>
    <w:rsid w:val="00157B50"/>
    <w:rsid w:val="001604C0"/>
    <w:rsid w:val="00160B16"/>
    <w:rsid w:val="00161138"/>
    <w:rsid w:val="00162219"/>
    <w:rsid w:val="00162EF7"/>
    <w:rsid w:val="0016338B"/>
    <w:rsid w:val="0016466C"/>
    <w:rsid w:val="00164BF4"/>
    <w:rsid w:val="00164BFF"/>
    <w:rsid w:val="00164EF8"/>
    <w:rsid w:val="00165E80"/>
    <w:rsid w:val="00165FD6"/>
    <w:rsid w:val="001666BA"/>
    <w:rsid w:val="00166F49"/>
    <w:rsid w:val="001676B1"/>
    <w:rsid w:val="00167B51"/>
    <w:rsid w:val="00170A82"/>
    <w:rsid w:val="00170AA7"/>
    <w:rsid w:val="00170DB2"/>
    <w:rsid w:val="00171263"/>
    <w:rsid w:val="00171E36"/>
    <w:rsid w:val="00172C15"/>
    <w:rsid w:val="00172CA1"/>
    <w:rsid w:val="00172E36"/>
    <w:rsid w:val="0017369D"/>
    <w:rsid w:val="001739EE"/>
    <w:rsid w:val="00174370"/>
    <w:rsid w:val="00174C6A"/>
    <w:rsid w:val="00175374"/>
    <w:rsid w:val="00175550"/>
    <w:rsid w:val="00175867"/>
    <w:rsid w:val="00175C4B"/>
    <w:rsid w:val="001764B0"/>
    <w:rsid w:val="001774FF"/>
    <w:rsid w:val="00177EE3"/>
    <w:rsid w:val="001803ED"/>
    <w:rsid w:val="001809CD"/>
    <w:rsid w:val="00180AC0"/>
    <w:rsid w:val="00180E14"/>
    <w:rsid w:val="00180FBD"/>
    <w:rsid w:val="001813A7"/>
    <w:rsid w:val="00181BE3"/>
    <w:rsid w:val="00182587"/>
    <w:rsid w:val="00184038"/>
    <w:rsid w:val="001840C3"/>
    <w:rsid w:val="00184E43"/>
    <w:rsid w:val="00184ED7"/>
    <w:rsid w:val="00185459"/>
    <w:rsid w:val="00185EFB"/>
    <w:rsid w:val="00186656"/>
    <w:rsid w:val="001866A8"/>
    <w:rsid w:val="00187728"/>
    <w:rsid w:val="00187D5B"/>
    <w:rsid w:val="0019020D"/>
    <w:rsid w:val="00190988"/>
    <w:rsid w:val="001914A6"/>
    <w:rsid w:val="00191588"/>
    <w:rsid w:val="0019165D"/>
    <w:rsid w:val="0019182B"/>
    <w:rsid w:val="00192E23"/>
    <w:rsid w:val="00193090"/>
    <w:rsid w:val="00193683"/>
    <w:rsid w:val="0019376A"/>
    <w:rsid w:val="00193900"/>
    <w:rsid w:val="00193A73"/>
    <w:rsid w:val="00193C52"/>
    <w:rsid w:val="00194E76"/>
    <w:rsid w:val="001958CD"/>
    <w:rsid w:val="00195EC3"/>
    <w:rsid w:val="001963BA"/>
    <w:rsid w:val="00196B7F"/>
    <w:rsid w:val="00196C79"/>
    <w:rsid w:val="001977EA"/>
    <w:rsid w:val="001A04BF"/>
    <w:rsid w:val="001A0688"/>
    <w:rsid w:val="001A0D67"/>
    <w:rsid w:val="001A0FD9"/>
    <w:rsid w:val="001A19D5"/>
    <w:rsid w:val="001A1AFD"/>
    <w:rsid w:val="001A1DAC"/>
    <w:rsid w:val="001A20A8"/>
    <w:rsid w:val="001A25DE"/>
    <w:rsid w:val="001A2DBD"/>
    <w:rsid w:val="001A3535"/>
    <w:rsid w:val="001A41CD"/>
    <w:rsid w:val="001A5B8E"/>
    <w:rsid w:val="001A63FA"/>
    <w:rsid w:val="001A6CBE"/>
    <w:rsid w:val="001A7E23"/>
    <w:rsid w:val="001B06FB"/>
    <w:rsid w:val="001B2423"/>
    <w:rsid w:val="001B2B93"/>
    <w:rsid w:val="001B2DA4"/>
    <w:rsid w:val="001B398E"/>
    <w:rsid w:val="001B4DA5"/>
    <w:rsid w:val="001B5106"/>
    <w:rsid w:val="001B5A2B"/>
    <w:rsid w:val="001B6ABD"/>
    <w:rsid w:val="001B7726"/>
    <w:rsid w:val="001B7B88"/>
    <w:rsid w:val="001C15B5"/>
    <w:rsid w:val="001C1C51"/>
    <w:rsid w:val="001C221A"/>
    <w:rsid w:val="001C242C"/>
    <w:rsid w:val="001C26A5"/>
    <w:rsid w:val="001C35DC"/>
    <w:rsid w:val="001C3B92"/>
    <w:rsid w:val="001C3C1E"/>
    <w:rsid w:val="001C49DB"/>
    <w:rsid w:val="001C4C0A"/>
    <w:rsid w:val="001C778D"/>
    <w:rsid w:val="001C784F"/>
    <w:rsid w:val="001C790B"/>
    <w:rsid w:val="001C7AC0"/>
    <w:rsid w:val="001D052D"/>
    <w:rsid w:val="001D06BB"/>
    <w:rsid w:val="001D0A9B"/>
    <w:rsid w:val="001D160D"/>
    <w:rsid w:val="001D2A29"/>
    <w:rsid w:val="001D363A"/>
    <w:rsid w:val="001D4661"/>
    <w:rsid w:val="001D4D67"/>
    <w:rsid w:val="001D4FF3"/>
    <w:rsid w:val="001D54CA"/>
    <w:rsid w:val="001D5790"/>
    <w:rsid w:val="001D6304"/>
    <w:rsid w:val="001D674F"/>
    <w:rsid w:val="001D73BF"/>
    <w:rsid w:val="001D7615"/>
    <w:rsid w:val="001E03F1"/>
    <w:rsid w:val="001E05D1"/>
    <w:rsid w:val="001E0737"/>
    <w:rsid w:val="001E07DA"/>
    <w:rsid w:val="001E0B1F"/>
    <w:rsid w:val="001E106B"/>
    <w:rsid w:val="001E1232"/>
    <w:rsid w:val="001E1462"/>
    <w:rsid w:val="001E1FF9"/>
    <w:rsid w:val="001E38C7"/>
    <w:rsid w:val="001E3BAA"/>
    <w:rsid w:val="001E449C"/>
    <w:rsid w:val="001E49D7"/>
    <w:rsid w:val="001E64B7"/>
    <w:rsid w:val="001E64D8"/>
    <w:rsid w:val="001E7015"/>
    <w:rsid w:val="001E74A2"/>
    <w:rsid w:val="001E7E06"/>
    <w:rsid w:val="001F0BDF"/>
    <w:rsid w:val="001F13A4"/>
    <w:rsid w:val="001F17D2"/>
    <w:rsid w:val="001F18F0"/>
    <w:rsid w:val="001F1E31"/>
    <w:rsid w:val="001F1FF7"/>
    <w:rsid w:val="001F3284"/>
    <w:rsid w:val="001F4427"/>
    <w:rsid w:val="001F4FED"/>
    <w:rsid w:val="001F5213"/>
    <w:rsid w:val="001F5448"/>
    <w:rsid w:val="001F5902"/>
    <w:rsid w:val="001F7290"/>
    <w:rsid w:val="00200012"/>
    <w:rsid w:val="00200335"/>
    <w:rsid w:val="002006BB"/>
    <w:rsid w:val="00200754"/>
    <w:rsid w:val="0020156F"/>
    <w:rsid w:val="0020185E"/>
    <w:rsid w:val="00202109"/>
    <w:rsid w:val="0020286B"/>
    <w:rsid w:val="00203416"/>
    <w:rsid w:val="002035E2"/>
    <w:rsid w:val="00203FCC"/>
    <w:rsid w:val="0020434C"/>
    <w:rsid w:val="0020501A"/>
    <w:rsid w:val="00205A63"/>
    <w:rsid w:val="00206229"/>
    <w:rsid w:val="002104AC"/>
    <w:rsid w:val="0021075B"/>
    <w:rsid w:val="00210814"/>
    <w:rsid w:val="00210BFF"/>
    <w:rsid w:val="00210EC9"/>
    <w:rsid w:val="00211403"/>
    <w:rsid w:val="0021158D"/>
    <w:rsid w:val="00212159"/>
    <w:rsid w:val="00212216"/>
    <w:rsid w:val="002124E1"/>
    <w:rsid w:val="00212835"/>
    <w:rsid w:val="002138E0"/>
    <w:rsid w:val="00213C1D"/>
    <w:rsid w:val="0021447F"/>
    <w:rsid w:val="00215CD3"/>
    <w:rsid w:val="00216D88"/>
    <w:rsid w:val="00216EC5"/>
    <w:rsid w:val="00217908"/>
    <w:rsid w:val="00217913"/>
    <w:rsid w:val="00217E5F"/>
    <w:rsid w:val="002205E2"/>
    <w:rsid w:val="0022094F"/>
    <w:rsid w:val="002218AF"/>
    <w:rsid w:val="00221D94"/>
    <w:rsid w:val="00221EC6"/>
    <w:rsid w:val="00222100"/>
    <w:rsid w:val="002223D7"/>
    <w:rsid w:val="00222987"/>
    <w:rsid w:val="00224910"/>
    <w:rsid w:val="00224C58"/>
    <w:rsid w:val="00226400"/>
    <w:rsid w:val="002271A3"/>
    <w:rsid w:val="00227476"/>
    <w:rsid w:val="002278F3"/>
    <w:rsid w:val="0023009F"/>
    <w:rsid w:val="00230893"/>
    <w:rsid w:val="002311B7"/>
    <w:rsid w:val="00231A79"/>
    <w:rsid w:val="00232681"/>
    <w:rsid w:val="00233399"/>
    <w:rsid w:val="00233906"/>
    <w:rsid w:val="00233C8B"/>
    <w:rsid w:val="00236624"/>
    <w:rsid w:val="00237286"/>
    <w:rsid w:val="00237E52"/>
    <w:rsid w:val="00240D1F"/>
    <w:rsid w:val="00241A03"/>
    <w:rsid w:val="00242A70"/>
    <w:rsid w:val="00242BA8"/>
    <w:rsid w:val="0024382C"/>
    <w:rsid w:val="00243913"/>
    <w:rsid w:val="00243961"/>
    <w:rsid w:val="00244474"/>
    <w:rsid w:val="00244B22"/>
    <w:rsid w:val="002460ED"/>
    <w:rsid w:val="00246816"/>
    <w:rsid w:val="00246957"/>
    <w:rsid w:val="00246A66"/>
    <w:rsid w:val="00246E57"/>
    <w:rsid w:val="00247F89"/>
    <w:rsid w:val="002502C8"/>
    <w:rsid w:val="002508D3"/>
    <w:rsid w:val="00250929"/>
    <w:rsid w:val="002510AF"/>
    <w:rsid w:val="00251E40"/>
    <w:rsid w:val="002524BD"/>
    <w:rsid w:val="00252A54"/>
    <w:rsid w:val="00252B39"/>
    <w:rsid w:val="00253651"/>
    <w:rsid w:val="00253832"/>
    <w:rsid w:val="00254E75"/>
    <w:rsid w:val="0025523D"/>
    <w:rsid w:val="00256E2F"/>
    <w:rsid w:val="00256F53"/>
    <w:rsid w:val="0025748A"/>
    <w:rsid w:val="00257A27"/>
    <w:rsid w:val="0026060F"/>
    <w:rsid w:val="00260855"/>
    <w:rsid w:val="0026158C"/>
    <w:rsid w:val="0026200A"/>
    <w:rsid w:val="00264DDB"/>
    <w:rsid w:val="00264FF8"/>
    <w:rsid w:val="0026534E"/>
    <w:rsid w:val="00265E9D"/>
    <w:rsid w:val="00266331"/>
    <w:rsid w:val="0026690A"/>
    <w:rsid w:val="00266C6C"/>
    <w:rsid w:val="00267299"/>
    <w:rsid w:val="00267606"/>
    <w:rsid w:val="002700DC"/>
    <w:rsid w:val="00270CA5"/>
    <w:rsid w:val="002712FB"/>
    <w:rsid w:val="0027202B"/>
    <w:rsid w:val="00272433"/>
    <w:rsid w:val="002726D2"/>
    <w:rsid w:val="00272810"/>
    <w:rsid w:val="002728D7"/>
    <w:rsid w:val="002748B8"/>
    <w:rsid w:val="00274A1B"/>
    <w:rsid w:val="00274A20"/>
    <w:rsid w:val="00275223"/>
    <w:rsid w:val="00276C45"/>
    <w:rsid w:val="002770CB"/>
    <w:rsid w:val="002804C9"/>
    <w:rsid w:val="002805EA"/>
    <w:rsid w:val="0028091A"/>
    <w:rsid w:val="00280E25"/>
    <w:rsid w:val="00281C36"/>
    <w:rsid w:val="00281DBD"/>
    <w:rsid w:val="00281FC7"/>
    <w:rsid w:val="002837EB"/>
    <w:rsid w:val="002837ED"/>
    <w:rsid w:val="00283D50"/>
    <w:rsid w:val="00284292"/>
    <w:rsid w:val="00284610"/>
    <w:rsid w:val="00284D7E"/>
    <w:rsid w:val="00284DFC"/>
    <w:rsid w:val="002853B1"/>
    <w:rsid w:val="00285C87"/>
    <w:rsid w:val="002860C0"/>
    <w:rsid w:val="002870E3"/>
    <w:rsid w:val="00287B5D"/>
    <w:rsid w:val="00290068"/>
    <w:rsid w:val="00290B2F"/>
    <w:rsid w:val="00290D0A"/>
    <w:rsid w:val="00291E54"/>
    <w:rsid w:val="00291F3C"/>
    <w:rsid w:val="00291FB3"/>
    <w:rsid w:val="002934A0"/>
    <w:rsid w:val="00293541"/>
    <w:rsid w:val="002952ED"/>
    <w:rsid w:val="00295F9E"/>
    <w:rsid w:val="0029607C"/>
    <w:rsid w:val="002961C2"/>
    <w:rsid w:val="00296863"/>
    <w:rsid w:val="00296CFD"/>
    <w:rsid w:val="00296ECA"/>
    <w:rsid w:val="00297583"/>
    <w:rsid w:val="00297D9B"/>
    <w:rsid w:val="002A0AC1"/>
    <w:rsid w:val="002A0ACA"/>
    <w:rsid w:val="002A0C4E"/>
    <w:rsid w:val="002A0E53"/>
    <w:rsid w:val="002A111A"/>
    <w:rsid w:val="002A29D4"/>
    <w:rsid w:val="002A2E05"/>
    <w:rsid w:val="002A5F78"/>
    <w:rsid w:val="002A640B"/>
    <w:rsid w:val="002A67F2"/>
    <w:rsid w:val="002A6E4A"/>
    <w:rsid w:val="002A6EE8"/>
    <w:rsid w:val="002A724A"/>
    <w:rsid w:val="002A78B2"/>
    <w:rsid w:val="002A7C72"/>
    <w:rsid w:val="002A7E4E"/>
    <w:rsid w:val="002B05C2"/>
    <w:rsid w:val="002B0604"/>
    <w:rsid w:val="002B069A"/>
    <w:rsid w:val="002B0ADC"/>
    <w:rsid w:val="002B0D93"/>
    <w:rsid w:val="002B0EE1"/>
    <w:rsid w:val="002B46E9"/>
    <w:rsid w:val="002B4745"/>
    <w:rsid w:val="002B582A"/>
    <w:rsid w:val="002B5A27"/>
    <w:rsid w:val="002B60F9"/>
    <w:rsid w:val="002B6428"/>
    <w:rsid w:val="002B66F1"/>
    <w:rsid w:val="002B7391"/>
    <w:rsid w:val="002B7B14"/>
    <w:rsid w:val="002C002D"/>
    <w:rsid w:val="002C1571"/>
    <w:rsid w:val="002C28A9"/>
    <w:rsid w:val="002C2B0D"/>
    <w:rsid w:val="002C2F61"/>
    <w:rsid w:val="002C30FB"/>
    <w:rsid w:val="002C32B8"/>
    <w:rsid w:val="002C6666"/>
    <w:rsid w:val="002C6845"/>
    <w:rsid w:val="002C7265"/>
    <w:rsid w:val="002C7A62"/>
    <w:rsid w:val="002D17AF"/>
    <w:rsid w:val="002D2B0F"/>
    <w:rsid w:val="002D393A"/>
    <w:rsid w:val="002D45B5"/>
    <w:rsid w:val="002D491C"/>
    <w:rsid w:val="002D4A72"/>
    <w:rsid w:val="002D4EA1"/>
    <w:rsid w:val="002D53F4"/>
    <w:rsid w:val="002D5AE4"/>
    <w:rsid w:val="002D5B5B"/>
    <w:rsid w:val="002D643C"/>
    <w:rsid w:val="002D684A"/>
    <w:rsid w:val="002D7C41"/>
    <w:rsid w:val="002D7EAC"/>
    <w:rsid w:val="002E0113"/>
    <w:rsid w:val="002E011C"/>
    <w:rsid w:val="002E033B"/>
    <w:rsid w:val="002E0515"/>
    <w:rsid w:val="002E231F"/>
    <w:rsid w:val="002E24FE"/>
    <w:rsid w:val="002E303C"/>
    <w:rsid w:val="002E32BA"/>
    <w:rsid w:val="002E476A"/>
    <w:rsid w:val="002E5163"/>
    <w:rsid w:val="002E5444"/>
    <w:rsid w:val="002E5C4A"/>
    <w:rsid w:val="002E615E"/>
    <w:rsid w:val="002E776B"/>
    <w:rsid w:val="002E78A6"/>
    <w:rsid w:val="002E79DC"/>
    <w:rsid w:val="002F01CB"/>
    <w:rsid w:val="002F0282"/>
    <w:rsid w:val="002F0B65"/>
    <w:rsid w:val="002F0E0C"/>
    <w:rsid w:val="002F14E1"/>
    <w:rsid w:val="002F17A5"/>
    <w:rsid w:val="002F1C67"/>
    <w:rsid w:val="002F1DA9"/>
    <w:rsid w:val="002F21B9"/>
    <w:rsid w:val="002F21FD"/>
    <w:rsid w:val="002F2BC0"/>
    <w:rsid w:val="002F2E59"/>
    <w:rsid w:val="002F2EF5"/>
    <w:rsid w:val="002F3D9E"/>
    <w:rsid w:val="002F4494"/>
    <w:rsid w:val="002F5F75"/>
    <w:rsid w:val="002F6501"/>
    <w:rsid w:val="002F6A5F"/>
    <w:rsid w:val="002F6C92"/>
    <w:rsid w:val="002F72B4"/>
    <w:rsid w:val="003003DB"/>
    <w:rsid w:val="00300DC0"/>
    <w:rsid w:val="003012E5"/>
    <w:rsid w:val="0030145C"/>
    <w:rsid w:val="00301D6C"/>
    <w:rsid w:val="00303BE6"/>
    <w:rsid w:val="00304098"/>
    <w:rsid w:val="0030543B"/>
    <w:rsid w:val="0030599F"/>
    <w:rsid w:val="00305A29"/>
    <w:rsid w:val="00305B0F"/>
    <w:rsid w:val="00306E9B"/>
    <w:rsid w:val="003072BB"/>
    <w:rsid w:val="0030767D"/>
    <w:rsid w:val="0030770A"/>
    <w:rsid w:val="00307AA7"/>
    <w:rsid w:val="0031171A"/>
    <w:rsid w:val="00312CCA"/>
    <w:rsid w:val="00313A91"/>
    <w:rsid w:val="00313AC2"/>
    <w:rsid w:val="00313B48"/>
    <w:rsid w:val="00313E3D"/>
    <w:rsid w:val="0031434F"/>
    <w:rsid w:val="003145FA"/>
    <w:rsid w:val="00315D4F"/>
    <w:rsid w:val="003175A9"/>
    <w:rsid w:val="0031782C"/>
    <w:rsid w:val="00317CC5"/>
    <w:rsid w:val="00320789"/>
    <w:rsid w:val="00320BD5"/>
    <w:rsid w:val="00320C91"/>
    <w:rsid w:val="00321854"/>
    <w:rsid w:val="00322799"/>
    <w:rsid w:val="00322EDE"/>
    <w:rsid w:val="00323480"/>
    <w:rsid w:val="00323A56"/>
    <w:rsid w:val="00324B32"/>
    <w:rsid w:val="00325FCB"/>
    <w:rsid w:val="00326782"/>
    <w:rsid w:val="003276EE"/>
    <w:rsid w:val="00327E18"/>
    <w:rsid w:val="00330DD0"/>
    <w:rsid w:val="00331AB8"/>
    <w:rsid w:val="00332D4A"/>
    <w:rsid w:val="00332EBD"/>
    <w:rsid w:val="00333015"/>
    <w:rsid w:val="0033333F"/>
    <w:rsid w:val="003337E5"/>
    <w:rsid w:val="00333DDC"/>
    <w:rsid w:val="00334B74"/>
    <w:rsid w:val="00334F66"/>
    <w:rsid w:val="003359D3"/>
    <w:rsid w:val="00336318"/>
    <w:rsid w:val="003368DE"/>
    <w:rsid w:val="003369F5"/>
    <w:rsid w:val="00337659"/>
    <w:rsid w:val="00337C44"/>
    <w:rsid w:val="0034098A"/>
    <w:rsid w:val="003411E1"/>
    <w:rsid w:val="003416CF"/>
    <w:rsid w:val="00341D38"/>
    <w:rsid w:val="00342B9F"/>
    <w:rsid w:val="00342D3B"/>
    <w:rsid w:val="003434C8"/>
    <w:rsid w:val="00343C49"/>
    <w:rsid w:val="00343FE8"/>
    <w:rsid w:val="003452F0"/>
    <w:rsid w:val="0034664A"/>
    <w:rsid w:val="003477DD"/>
    <w:rsid w:val="00347FB3"/>
    <w:rsid w:val="00350A8B"/>
    <w:rsid w:val="00350AF3"/>
    <w:rsid w:val="00350E5F"/>
    <w:rsid w:val="00351870"/>
    <w:rsid w:val="003518B2"/>
    <w:rsid w:val="00352363"/>
    <w:rsid w:val="00352B86"/>
    <w:rsid w:val="0035322B"/>
    <w:rsid w:val="003533A3"/>
    <w:rsid w:val="003538F9"/>
    <w:rsid w:val="00354430"/>
    <w:rsid w:val="00354753"/>
    <w:rsid w:val="00354783"/>
    <w:rsid w:val="003548CB"/>
    <w:rsid w:val="00354916"/>
    <w:rsid w:val="00355622"/>
    <w:rsid w:val="0035653B"/>
    <w:rsid w:val="00356E95"/>
    <w:rsid w:val="00356EE4"/>
    <w:rsid w:val="0035780E"/>
    <w:rsid w:val="0035788D"/>
    <w:rsid w:val="0036005A"/>
    <w:rsid w:val="0036067F"/>
    <w:rsid w:val="003606E8"/>
    <w:rsid w:val="00360D61"/>
    <w:rsid w:val="00360DB9"/>
    <w:rsid w:val="003615FF"/>
    <w:rsid w:val="00361E18"/>
    <w:rsid w:val="00361F40"/>
    <w:rsid w:val="00362AED"/>
    <w:rsid w:val="003631F8"/>
    <w:rsid w:val="0036416F"/>
    <w:rsid w:val="00364994"/>
    <w:rsid w:val="00364C67"/>
    <w:rsid w:val="00365168"/>
    <w:rsid w:val="00365C37"/>
    <w:rsid w:val="00365D5E"/>
    <w:rsid w:val="003661C7"/>
    <w:rsid w:val="00370030"/>
    <w:rsid w:val="0037054B"/>
    <w:rsid w:val="00370A12"/>
    <w:rsid w:val="00370E62"/>
    <w:rsid w:val="00372034"/>
    <w:rsid w:val="0037207C"/>
    <w:rsid w:val="003726D5"/>
    <w:rsid w:val="00372B7A"/>
    <w:rsid w:val="003744A9"/>
    <w:rsid w:val="00375B97"/>
    <w:rsid w:val="00376A89"/>
    <w:rsid w:val="0037741D"/>
    <w:rsid w:val="00377C80"/>
    <w:rsid w:val="00377CF3"/>
    <w:rsid w:val="003804DE"/>
    <w:rsid w:val="00380BBA"/>
    <w:rsid w:val="00381DB2"/>
    <w:rsid w:val="00381ED9"/>
    <w:rsid w:val="00382CCB"/>
    <w:rsid w:val="003832C0"/>
    <w:rsid w:val="00383726"/>
    <w:rsid w:val="003839DA"/>
    <w:rsid w:val="00383C2F"/>
    <w:rsid w:val="00386D03"/>
    <w:rsid w:val="003902B9"/>
    <w:rsid w:val="003906E8"/>
    <w:rsid w:val="003909C9"/>
    <w:rsid w:val="00392535"/>
    <w:rsid w:val="0039261E"/>
    <w:rsid w:val="003927F0"/>
    <w:rsid w:val="00392A62"/>
    <w:rsid w:val="0039368D"/>
    <w:rsid w:val="00393CCD"/>
    <w:rsid w:val="00393FE2"/>
    <w:rsid w:val="003947B1"/>
    <w:rsid w:val="00394A5F"/>
    <w:rsid w:val="00394EEC"/>
    <w:rsid w:val="003A0CC6"/>
    <w:rsid w:val="003A19FC"/>
    <w:rsid w:val="003A1F2F"/>
    <w:rsid w:val="003A354F"/>
    <w:rsid w:val="003A3827"/>
    <w:rsid w:val="003A3BE7"/>
    <w:rsid w:val="003A4135"/>
    <w:rsid w:val="003A456E"/>
    <w:rsid w:val="003A471E"/>
    <w:rsid w:val="003A4A43"/>
    <w:rsid w:val="003A4CF1"/>
    <w:rsid w:val="003A4EBB"/>
    <w:rsid w:val="003A59B5"/>
    <w:rsid w:val="003A6356"/>
    <w:rsid w:val="003A6419"/>
    <w:rsid w:val="003A64E2"/>
    <w:rsid w:val="003A6796"/>
    <w:rsid w:val="003B0F61"/>
    <w:rsid w:val="003B131E"/>
    <w:rsid w:val="003B1909"/>
    <w:rsid w:val="003B2739"/>
    <w:rsid w:val="003B27D4"/>
    <w:rsid w:val="003B287B"/>
    <w:rsid w:val="003B3D20"/>
    <w:rsid w:val="003B5128"/>
    <w:rsid w:val="003B51C4"/>
    <w:rsid w:val="003B577B"/>
    <w:rsid w:val="003B586F"/>
    <w:rsid w:val="003B5B49"/>
    <w:rsid w:val="003B6C4B"/>
    <w:rsid w:val="003B6C9E"/>
    <w:rsid w:val="003B70D6"/>
    <w:rsid w:val="003B72BE"/>
    <w:rsid w:val="003B79D5"/>
    <w:rsid w:val="003B7A70"/>
    <w:rsid w:val="003C052C"/>
    <w:rsid w:val="003C10EF"/>
    <w:rsid w:val="003C11BD"/>
    <w:rsid w:val="003C17E2"/>
    <w:rsid w:val="003C1B57"/>
    <w:rsid w:val="003C206F"/>
    <w:rsid w:val="003C2108"/>
    <w:rsid w:val="003C23B6"/>
    <w:rsid w:val="003C25A1"/>
    <w:rsid w:val="003C2714"/>
    <w:rsid w:val="003C3BE1"/>
    <w:rsid w:val="003C43A5"/>
    <w:rsid w:val="003C5AD4"/>
    <w:rsid w:val="003C5D26"/>
    <w:rsid w:val="003C693E"/>
    <w:rsid w:val="003C7CA1"/>
    <w:rsid w:val="003D0D18"/>
    <w:rsid w:val="003D0D3E"/>
    <w:rsid w:val="003D1DAE"/>
    <w:rsid w:val="003D294F"/>
    <w:rsid w:val="003D2A1C"/>
    <w:rsid w:val="003D2D37"/>
    <w:rsid w:val="003D2E6D"/>
    <w:rsid w:val="003D3115"/>
    <w:rsid w:val="003D3BE5"/>
    <w:rsid w:val="003D4953"/>
    <w:rsid w:val="003D5990"/>
    <w:rsid w:val="003D63B1"/>
    <w:rsid w:val="003D776F"/>
    <w:rsid w:val="003D799E"/>
    <w:rsid w:val="003D7A99"/>
    <w:rsid w:val="003D7B5A"/>
    <w:rsid w:val="003E03A9"/>
    <w:rsid w:val="003E0779"/>
    <w:rsid w:val="003E11E5"/>
    <w:rsid w:val="003E1431"/>
    <w:rsid w:val="003E1841"/>
    <w:rsid w:val="003E1A0F"/>
    <w:rsid w:val="003E25EE"/>
    <w:rsid w:val="003E298D"/>
    <w:rsid w:val="003E41BD"/>
    <w:rsid w:val="003E4633"/>
    <w:rsid w:val="003E5A10"/>
    <w:rsid w:val="003E64BF"/>
    <w:rsid w:val="003E670D"/>
    <w:rsid w:val="003E68CE"/>
    <w:rsid w:val="003E75C6"/>
    <w:rsid w:val="003E7FC1"/>
    <w:rsid w:val="003F0F83"/>
    <w:rsid w:val="003F1C93"/>
    <w:rsid w:val="003F2F61"/>
    <w:rsid w:val="003F3725"/>
    <w:rsid w:val="003F3A61"/>
    <w:rsid w:val="003F3A69"/>
    <w:rsid w:val="003F5C55"/>
    <w:rsid w:val="003F61A3"/>
    <w:rsid w:val="003F6854"/>
    <w:rsid w:val="003F6F04"/>
    <w:rsid w:val="003F79D3"/>
    <w:rsid w:val="003F7B10"/>
    <w:rsid w:val="003F7FAA"/>
    <w:rsid w:val="00400EBE"/>
    <w:rsid w:val="00401354"/>
    <w:rsid w:val="00401AD7"/>
    <w:rsid w:val="004028E4"/>
    <w:rsid w:val="00402C53"/>
    <w:rsid w:val="004031AC"/>
    <w:rsid w:val="0040392F"/>
    <w:rsid w:val="00403945"/>
    <w:rsid w:val="00403BE9"/>
    <w:rsid w:val="004043C9"/>
    <w:rsid w:val="004045B1"/>
    <w:rsid w:val="00404CB6"/>
    <w:rsid w:val="004067A7"/>
    <w:rsid w:val="0040718C"/>
    <w:rsid w:val="00407DDC"/>
    <w:rsid w:val="0041155D"/>
    <w:rsid w:val="00412565"/>
    <w:rsid w:val="0041338D"/>
    <w:rsid w:val="00414678"/>
    <w:rsid w:val="00414A34"/>
    <w:rsid w:val="00414CBB"/>
    <w:rsid w:val="00416261"/>
    <w:rsid w:val="004179F8"/>
    <w:rsid w:val="00417BEA"/>
    <w:rsid w:val="00417F41"/>
    <w:rsid w:val="00420054"/>
    <w:rsid w:val="004201FB"/>
    <w:rsid w:val="004206FC"/>
    <w:rsid w:val="00420861"/>
    <w:rsid w:val="00421A6B"/>
    <w:rsid w:val="00421E1C"/>
    <w:rsid w:val="00423609"/>
    <w:rsid w:val="00423707"/>
    <w:rsid w:val="00423C92"/>
    <w:rsid w:val="00424740"/>
    <w:rsid w:val="00424ABD"/>
    <w:rsid w:val="00424C56"/>
    <w:rsid w:val="0042508C"/>
    <w:rsid w:val="00425567"/>
    <w:rsid w:val="004256ED"/>
    <w:rsid w:val="00425F8F"/>
    <w:rsid w:val="00426021"/>
    <w:rsid w:val="00426197"/>
    <w:rsid w:val="00426218"/>
    <w:rsid w:val="00426541"/>
    <w:rsid w:val="00426FEA"/>
    <w:rsid w:val="0042788B"/>
    <w:rsid w:val="004300DC"/>
    <w:rsid w:val="00431AA8"/>
    <w:rsid w:val="0043382B"/>
    <w:rsid w:val="0043481B"/>
    <w:rsid w:val="00434E3F"/>
    <w:rsid w:val="00434EE8"/>
    <w:rsid w:val="00435B93"/>
    <w:rsid w:val="00435D17"/>
    <w:rsid w:val="00436FAB"/>
    <w:rsid w:val="00437381"/>
    <w:rsid w:val="00437592"/>
    <w:rsid w:val="0043770B"/>
    <w:rsid w:val="00437774"/>
    <w:rsid w:val="00440A24"/>
    <w:rsid w:val="00442CF1"/>
    <w:rsid w:val="004434B5"/>
    <w:rsid w:val="00444243"/>
    <w:rsid w:val="0044451C"/>
    <w:rsid w:val="0044475C"/>
    <w:rsid w:val="004451C4"/>
    <w:rsid w:val="00445335"/>
    <w:rsid w:val="004455DF"/>
    <w:rsid w:val="00445948"/>
    <w:rsid w:val="004463C6"/>
    <w:rsid w:val="00446FDB"/>
    <w:rsid w:val="004475B7"/>
    <w:rsid w:val="0044789F"/>
    <w:rsid w:val="004502BD"/>
    <w:rsid w:val="004504A9"/>
    <w:rsid w:val="00451C08"/>
    <w:rsid w:val="00451D1E"/>
    <w:rsid w:val="00452C29"/>
    <w:rsid w:val="00452FE6"/>
    <w:rsid w:val="00453C9C"/>
    <w:rsid w:val="00453EA6"/>
    <w:rsid w:val="00453F8D"/>
    <w:rsid w:val="004546E7"/>
    <w:rsid w:val="00454A7F"/>
    <w:rsid w:val="0045526E"/>
    <w:rsid w:val="004565F3"/>
    <w:rsid w:val="00456B8B"/>
    <w:rsid w:val="00456DA2"/>
    <w:rsid w:val="00456DC4"/>
    <w:rsid w:val="004578CE"/>
    <w:rsid w:val="004602F8"/>
    <w:rsid w:val="00461579"/>
    <w:rsid w:val="00461BC9"/>
    <w:rsid w:val="00461D7D"/>
    <w:rsid w:val="004628B0"/>
    <w:rsid w:val="004628D8"/>
    <w:rsid w:val="004632D9"/>
    <w:rsid w:val="00463A0C"/>
    <w:rsid w:val="00463D35"/>
    <w:rsid w:val="00463EB8"/>
    <w:rsid w:val="00463F66"/>
    <w:rsid w:val="00464F3D"/>
    <w:rsid w:val="004663C4"/>
    <w:rsid w:val="004677DE"/>
    <w:rsid w:val="004709AD"/>
    <w:rsid w:val="00470D24"/>
    <w:rsid w:val="0047106E"/>
    <w:rsid w:val="00471BB7"/>
    <w:rsid w:val="004723B1"/>
    <w:rsid w:val="00472441"/>
    <w:rsid w:val="00472CD9"/>
    <w:rsid w:val="00473203"/>
    <w:rsid w:val="0047322F"/>
    <w:rsid w:val="004744DF"/>
    <w:rsid w:val="00474CB5"/>
    <w:rsid w:val="00474D97"/>
    <w:rsid w:val="00474FB4"/>
    <w:rsid w:val="004750E5"/>
    <w:rsid w:val="00475E8F"/>
    <w:rsid w:val="00476645"/>
    <w:rsid w:val="0047713E"/>
    <w:rsid w:val="0047733F"/>
    <w:rsid w:val="00477661"/>
    <w:rsid w:val="004805A6"/>
    <w:rsid w:val="00481783"/>
    <w:rsid w:val="00481C17"/>
    <w:rsid w:val="004825BB"/>
    <w:rsid w:val="00482AF9"/>
    <w:rsid w:val="00482EDD"/>
    <w:rsid w:val="004834F0"/>
    <w:rsid w:val="00484C59"/>
    <w:rsid w:val="00484DA9"/>
    <w:rsid w:val="004865C1"/>
    <w:rsid w:val="00486A66"/>
    <w:rsid w:val="00486CC2"/>
    <w:rsid w:val="0048780D"/>
    <w:rsid w:val="00487907"/>
    <w:rsid w:val="00487D11"/>
    <w:rsid w:val="00487D3F"/>
    <w:rsid w:val="0049000A"/>
    <w:rsid w:val="004905B3"/>
    <w:rsid w:val="00490A24"/>
    <w:rsid w:val="00490AB5"/>
    <w:rsid w:val="00490E84"/>
    <w:rsid w:val="004917FE"/>
    <w:rsid w:val="004921F1"/>
    <w:rsid w:val="004929B5"/>
    <w:rsid w:val="00492A41"/>
    <w:rsid w:val="00492BA7"/>
    <w:rsid w:val="004941D6"/>
    <w:rsid w:val="0049443B"/>
    <w:rsid w:val="00494B14"/>
    <w:rsid w:val="00495046"/>
    <w:rsid w:val="00495D0A"/>
    <w:rsid w:val="00497D10"/>
    <w:rsid w:val="004A0B3E"/>
    <w:rsid w:val="004A13C0"/>
    <w:rsid w:val="004A248E"/>
    <w:rsid w:val="004A2569"/>
    <w:rsid w:val="004A2E9C"/>
    <w:rsid w:val="004A2F73"/>
    <w:rsid w:val="004A3B3C"/>
    <w:rsid w:val="004A426B"/>
    <w:rsid w:val="004A4543"/>
    <w:rsid w:val="004A4B72"/>
    <w:rsid w:val="004A4D14"/>
    <w:rsid w:val="004A5072"/>
    <w:rsid w:val="004A53B7"/>
    <w:rsid w:val="004A5B84"/>
    <w:rsid w:val="004A5DE8"/>
    <w:rsid w:val="004A6134"/>
    <w:rsid w:val="004A645A"/>
    <w:rsid w:val="004A6C8E"/>
    <w:rsid w:val="004A7912"/>
    <w:rsid w:val="004A793C"/>
    <w:rsid w:val="004B0239"/>
    <w:rsid w:val="004B05B5"/>
    <w:rsid w:val="004B05F5"/>
    <w:rsid w:val="004B06EC"/>
    <w:rsid w:val="004B081F"/>
    <w:rsid w:val="004B0A9B"/>
    <w:rsid w:val="004B0B04"/>
    <w:rsid w:val="004B17D9"/>
    <w:rsid w:val="004B190F"/>
    <w:rsid w:val="004B1C48"/>
    <w:rsid w:val="004B2439"/>
    <w:rsid w:val="004B328B"/>
    <w:rsid w:val="004B4357"/>
    <w:rsid w:val="004B48F0"/>
    <w:rsid w:val="004B6725"/>
    <w:rsid w:val="004B6DD2"/>
    <w:rsid w:val="004B7618"/>
    <w:rsid w:val="004B7821"/>
    <w:rsid w:val="004B7C8D"/>
    <w:rsid w:val="004C09FD"/>
    <w:rsid w:val="004C198C"/>
    <w:rsid w:val="004C1C32"/>
    <w:rsid w:val="004C1C58"/>
    <w:rsid w:val="004C244D"/>
    <w:rsid w:val="004C2C30"/>
    <w:rsid w:val="004C2CEC"/>
    <w:rsid w:val="004C39EC"/>
    <w:rsid w:val="004C3E27"/>
    <w:rsid w:val="004C3F98"/>
    <w:rsid w:val="004C417D"/>
    <w:rsid w:val="004C4F8B"/>
    <w:rsid w:val="004C515B"/>
    <w:rsid w:val="004C51FF"/>
    <w:rsid w:val="004C5857"/>
    <w:rsid w:val="004C5CEA"/>
    <w:rsid w:val="004C67A7"/>
    <w:rsid w:val="004C730A"/>
    <w:rsid w:val="004C77B2"/>
    <w:rsid w:val="004D0070"/>
    <w:rsid w:val="004D0825"/>
    <w:rsid w:val="004D1333"/>
    <w:rsid w:val="004D156D"/>
    <w:rsid w:val="004D1F3D"/>
    <w:rsid w:val="004D20BB"/>
    <w:rsid w:val="004D2798"/>
    <w:rsid w:val="004D35DC"/>
    <w:rsid w:val="004D3AD0"/>
    <w:rsid w:val="004D43B9"/>
    <w:rsid w:val="004D5D6C"/>
    <w:rsid w:val="004D61EC"/>
    <w:rsid w:val="004D6A75"/>
    <w:rsid w:val="004D6B6F"/>
    <w:rsid w:val="004E0510"/>
    <w:rsid w:val="004E1051"/>
    <w:rsid w:val="004E1109"/>
    <w:rsid w:val="004E1241"/>
    <w:rsid w:val="004E18B2"/>
    <w:rsid w:val="004E2134"/>
    <w:rsid w:val="004E4A5D"/>
    <w:rsid w:val="004E50E7"/>
    <w:rsid w:val="004E5557"/>
    <w:rsid w:val="004E63A8"/>
    <w:rsid w:val="004E6B67"/>
    <w:rsid w:val="004F0B0C"/>
    <w:rsid w:val="004F0C2C"/>
    <w:rsid w:val="004F10AC"/>
    <w:rsid w:val="004F118D"/>
    <w:rsid w:val="004F1198"/>
    <w:rsid w:val="004F195F"/>
    <w:rsid w:val="004F1ABA"/>
    <w:rsid w:val="004F1E21"/>
    <w:rsid w:val="004F2345"/>
    <w:rsid w:val="004F2F25"/>
    <w:rsid w:val="004F30C0"/>
    <w:rsid w:val="004F395E"/>
    <w:rsid w:val="004F3E73"/>
    <w:rsid w:val="004F60D3"/>
    <w:rsid w:val="004F6712"/>
    <w:rsid w:val="004F7C4D"/>
    <w:rsid w:val="004F7C78"/>
    <w:rsid w:val="00500571"/>
    <w:rsid w:val="0050114A"/>
    <w:rsid w:val="005015EB"/>
    <w:rsid w:val="00502157"/>
    <w:rsid w:val="0050219C"/>
    <w:rsid w:val="00502A7A"/>
    <w:rsid w:val="00502F26"/>
    <w:rsid w:val="00502FBD"/>
    <w:rsid w:val="00503813"/>
    <w:rsid w:val="00504065"/>
    <w:rsid w:val="005060DA"/>
    <w:rsid w:val="00506379"/>
    <w:rsid w:val="005065F0"/>
    <w:rsid w:val="005067BE"/>
    <w:rsid w:val="005070C4"/>
    <w:rsid w:val="0050711A"/>
    <w:rsid w:val="00507507"/>
    <w:rsid w:val="00507B70"/>
    <w:rsid w:val="00507C81"/>
    <w:rsid w:val="00510CCD"/>
    <w:rsid w:val="00511359"/>
    <w:rsid w:val="005118A1"/>
    <w:rsid w:val="00511E72"/>
    <w:rsid w:val="005123E8"/>
    <w:rsid w:val="0051283F"/>
    <w:rsid w:val="00512C5C"/>
    <w:rsid w:val="0051396F"/>
    <w:rsid w:val="0051447C"/>
    <w:rsid w:val="005147A7"/>
    <w:rsid w:val="00514E06"/>
    <w:rsid w:val="005150C1"/>
    <w:rsid w:val="0051558C"/>
    <w:rsid w:val="005159F3"/>
    <w:rsid w:val="00515BFC"/>
    <w:rsid w:val="00516A99"/>
    <w:rsid w:val="00517119"/>
    <w:rsid w:val="00517D92"/>
    <w:rsid w:val="00517F06"/>
    <w:rsid w:val="00520231"/>
    <w:rsid w:val="00520514"/>
    <w:rsid w:val="005214D8"/>
    <w:rsid w:val="005222FB"/>
    <w:rsid w:val="005224D5"/>
    <w:rsid w:val="005227AF"/>
    <w:rsid w:val="005245FA"/>
    <w:rsid w:val="00524956"/>
    <w:rsid w:val="005251D7"/>
    <w:rsid w:val="0052536A"/>
    <w:rsid w:val="00525D19"/>
    <w:rsid w:val="00526763"/>
    <w:rsid w:val="00526BA7"/>
    <w:rsid w:val="00526C30"/>
    <w:rsid w:val="00526E36"/>
    <w:rsid w:val="005274EE"/>
    <w:rsid w:val="0053084A"/>
    <w:rsid w:val="0053169B"/>
    <w:rsid w:val="00531B2B"/>
    <w:rsid w:val="00532369"/>
    <w:rsid w:val="00533153"/>
    <w:rsid w:val="00533B97"/>
    <w:rsid w:val="005343E9"/>
    <w:rsid w:val="005346D4"/>
    <w:rsid w:val="0053567C"/>
    <w:rsid w:val="00535D14"/>
    <w:rsid w:val="00535D4A"/>
    <w:rsid w:val="00536000"/>
    <w:rsid w:val="005371D2"/>
    <w:rsid w:val="00537445"/>
    <w:rsid w:val="0053772D"/>
    <w:rsid w:val="00537D1D"/>
    <w:rsid w:val="00537DE4"/>
    <w:rsid w:val="00540021"/>
    <w:rsid w:val="00540BD5"/>
    <w:rsid w:val="005412D2"/>
    <w:rsid w:val="0054133E"/>
    <w:rsid w:val="00541FBF"/>
    <w:rsid w:val="005422CA"/>
    <w:rsid w:val="00542991"/>
    <w:rsid w:val="00543B02"/>
    <w:rsid w:val="00544092"/>
    <w:rsid w:val="00544C12"/>
    <w:rsid w:val="00544F7F"/>
    <w:rsid w:val="00545309"/>
    <w:rsid w:val="005453DA"/>
    <w:rsid w:val="005457B1"/>
    <w:rsid w:val="00545AB9"/>
    <w:rsid w:val="00545C73"/>
    <w:rsid w:val="005463A9"/>
    <w:rsid w:val="005464F5"/>
    <w:rsid w:val="0054755F"/>
    <w:rsid w:val="0054756B"/>
    <w:rsid w:val="00547D05"/>
    <w:rsid w:val="00552C74"/>
    <w:rsid w:val="00552F2E"/>
    <w:rsid w:val="00553AF4"/>
    <w:rsid w:val="005546F6"/>
    <w:rsid w:val="00554C18"/>
    <w:rsid w:val="0055617C"/>
    <w:rsid w:val="005565D6"/>
    <w:rsid w:val="00556D7E"/>
    <w:rsid w:val="00556F51"/>
    <w:rsid w:val="0055724D"/>
    <w:rsid w:val="00557801"/>
    <w:rsid w:val="00557AA1"/>
    <w:rsid w:val="005611AE"/>
    <w:rsid w:val="00562097"/>
    <w:rsid w:val="005623A1"/>
    <w:rsid w:val="005631D0"/>
    <w:rsid w:val="00563BA5"/>
    <w:rsid w:val="0056500D"/>
    <w:rsid w:val="0056510F"/>
    <w:rsid w:val="00565D35"/>
    <w:rsid w:val="00566575"/>
    <w:rsid w:val="005666F3"/>
    <w:rsid w:val="00566F21"/>
    <w:rsid w:val="00567029"/>
    <w:rsid w:val="005676AD"/>
    <w:rsid w:val="005676B5"/>
    <w:rsid w:val="00570318"/>
    <w:rsid w:val="00570B33"/>
    <w:rsid w:val="00571328"/>
    <w:rsid w:val="005717C6"/>
    <w:rsid w:val="005730BB"/>
    <w:rsid w:val="005735BC"/>
    <w:rsid w:val="00574A97"/>
    <w:rsid w:val="005757D4"/>
    <w:rsid w:val="005758F8"/>
    <w:rsid w:val="00577C4E"/>
    <w:rsid w:val="0058108C"/>
    <w:rsid w:val="005815E7"/>
    <w:rsid w:val="00581FF8"/>
    <w:rsid w:val="005828F2"/>
    <w:rsid w:val="00583062"/>
    <w:rsid w:val="00583566"/>
    <w:rsid w:val="00583704"/>
    <w:rsid w:val="0058390A"/>
    <w:rsid w:val="00583F27"/>
    <w:rsid w:val="00583F7D"/>
    <w:rsid w:val="005843A0"/>
    <w:rsid w:val="00584814"/>
    <w:rsid w:val="00584E9E"/>
    <w:rsid w:val="005850B5"/>
    <w:rsid w:val="005855DE"/>
    <w:rsid w:val="00587BE1"/>
    <w:rsid w:val="00587E9A"/>
    <w:rsid w:val="0059065C"/>
    <w:rsid w:val="0059084B"/>
    <w:rsid w:val="00591C4D"/>
    <w:rsid w:val="00592666"/>
    <w:rsid w:val="00593747"/>
    <w:rsid w:val="00593C81"/>
    <w:rsid w:val="00594326"/>
    <w:rsid w:val="0059467E"/>
    <w:rsid w:val="00594AEF"/>
    <w:rsid w:val="00594CCA"/>
    <w:rsid w:val="005950B0"/>
    <w:rsid w:val="005951B9"/>
    <w:rsid w:val="00595FEF"/>
    <w:rsid w:val="005962FA"/>
    <w:rsid w:val="005973D4"/>
    <w:rsid w:val="00597453"/>
    <w:rsid w:val="00597962"/>
    <w:rsid w:val="005A01FF"/>
    <w:rsid w:val="005A18F1"/>
    <w:rsid w:val="005A1935"/>
    <w:rsid w:val="005A23C3"/>
    <w:rsid w:val="005A288D"/>
    <w:rsid w:val="005A28B9"/>
    <w:rsid w:val="005A2EFE"/>
    <w:rsid w:val="005A2FC1"/>
    <w:rsid w:val="005A47BE"/>
    <w:rsid w:val="005A49B7"/>
    <w:rsid w:val="005A4E55"/>
    <w:rsid w:val="005A7302"/>
    <w:rsid w:val="005B08CC"/>
    <w:rsid w:val="005B0A56"/>
    <w:rsid w:val="005B21A3"/>
    <w:rsid w:val="005B314B"/>
    <w:rsid w:val="005B3275"/>
    <w:rsid w:val="005B3B58"/>
    <w:rsid w:val="005B3FF4"/>
    <w:rsid w:val="005B481B"/>
    <w:rsid w:val="005B4C2B"/>
    <w:rsid w:val="005B5067"/>
    <w:rsid w:val="005B5A16"/>
    <w:rsid w:val="005B5DA9"/>
    <w:rsid w:val="005B6A16"/>
    <w:rsid w:val="005B7B4B"/>
    <w:rsid w:val="005B7D45"/>
    <w:rsid w:val="005C1275"/>
    <w:rsid w:val="005C134C"/>
    <w:rsid w:val="005C2808"/>
    <w:rsid w:val="005C4481"/>
    <w:rsid w:val="005C4568"/>
    <w:rsid w:val="005C4994"/>
    <w:rsid w:val="005C49FA"/>
    <w:rsid w:val="005C4A11"/>
    <w:rsid w:val="005C5B29"/>
    <w:rsid w:val="005C6C33"/>
    <w:rsid w:val="005C7D08"/>
    <w:rsid w:val="005C7DBC"/>
    <w:rsid w:val="005C7DF1"/>
    <w:rsid w:val="005D0625"/>
    <w:rsid w:val="005D1541"/>
    <w:rsid w:val="005D1543"/>
    <w:rsid w:val="005D25F6"/>
    <w:rsid w:val="005D28C6"/>
    <w:rsid w:val="005D3932"/>
    <w:rsid w:val="005D396B"/>
    <w:rsid w:val="005D4219"/>
    <w:rsid w:val="005D44D4"/>
    <w:rsid w:val="005D454B"/>
    <w:rsid w:val="005D4801"/>
    <w:rsid w:val="005D553F"/>
    <w:rsid w:val="005D599B"/>
    <w:rsid w:val="005D5A6D"/>
    <w:rsid w:val="005D6180"/>
    <w:rsid w:val="005D7A95"/>
    <w:rsid w:val="005D7E74"/>
    <w:rsid w:val="005E000A"/>
    <w:rsid w:val="005E02DC"/>
    <w:rsid w:val="005E1BA9"/>
    <w:rsid w:val="005E1D7B"/>
    <w:rsid w:val="005E2DCC"/>
    <w:rsid w:val="005E2F9A"/>
    <w:rsid w:val="005E3550"/>
    <w:rsid w:val="005E35E5"/>
    <w:rsid w:val="005E3C96"/>
    <w:rsid w:val="005E4DA5"/>
    <w:rsid w:val="005E5030"/>
    <w:rsid w:val="005E5931"/>
    <w:rsid w:val="005E5D4A"/>
    <w:rsid w:val="005E6DC7"/>
    <w:rsid w:val="005F0609"/>
    <w:rsid w:val="005F09F2"/>
    <w:rsid w:val="005F2828"/>
    <w:rsid w:val="005F285F"/>
    <w:rsid w:val="005F41B4"/>
    <w:rsid w:val="005F4C43"/>
    <w:rsid w:val="005F537E"/>
    <w:rsid w:val="005F5D55"/>
    <w:rsid w:val="005F5D8D"/>
    <w:rsid w:val="005F6105"/>
    <w:rsid w:val="005F68A6"/>
    <w:rsid w:val="005F6E6D"/>
    <w:rsid w:val="005F6F62"/>
    <w:rsid w:val="005F7147"/>
    <w:rsid w:val="005F7CA9"/>
    <w:rsid w:val="006009A3"/>
    <w:rsid w:val="00600C49"/>
    <w:rsid w:val="00601724"/>
    <w:rsid w:val="00601BEB"/>
    <w:rsid w:val="00602070"/>
    <w:rsid w:val="00602B92"/>
    <w:rsid w:val="006033BA"/>
    <w:rsid w:val="0060342C"/>
    <w:rsid w:val="00603A2D"/>
    <w:rsid w:val="006048D4"/>
    <w:rsid w:val="00604E1C"/>
    <w:rsid w:val="00605848"/>
    <w:rsid w:val="00605F41"/>
    <w:rsid w:val="006068C4"/>
    <w:rsid w:val="00606E92"/>
    <w:rsid w:val="00607960"/>
    <w:rsid w:val="00610A90"/>
    <w:rsid w:val="0061106B"/>
    <w:rsid w:val="00611388"/>
    <w:rsid w:val="006113A9"/>
    <w:rsid w:val="00611895"/>
    <w:rsid w:val="006119B4"/>
    <w:rsid w:val="00611F5F"/>
    <w:rsid w:val="0061217C"/>
    <w:rsid w:val="00612EFB"/>
    <w:rsid w:val="00613188"/>
    <w:rsid w:val="006135EA"/>
    <w:rsid w:val="00613BE3"/>
    <w:rsid w:val="00613C9F"/>
    <w:rsid w:val="00613F8A"/>
    <w:rsid w:val="006144B7"/>
    <w:rsid w:val="006149A9"/>
    <w:rsid w:val="00614FBA"/>
    <w:rsid w:val="00615369"/>
    <w:rsid w:val="00617692"/>
    <w:rsid w:val="00617FD2"/>
    <w:rsid w:val="0062023F"/>
    <w:rsid w:val="00620B6A"/>
    <w:rsid w:val="00620DFF"/>
    <w:rsid w:val="0062188D"/>
    <w:rsid w:val="00621E87"/>
    <w:rsid w:val="00621E95"/>
    <w:rsid w:val="00622B43"/>
    <w:rsid w:val="00622BFC"/>
    <w:rsid w:val="00622D7D"/>
    <w:rsid w:val="00622EF2"/>
    <w:rsid w:val="00625331"/>
    <w:rsid w:val="0062549E"/>
    <w:rsid w:val="0062629C"/>
    <w:rsid w:val="0062641A"/>
    <w:rsid w:val="00626AC4"/>
    <w:rsid w:val="00627D14"/>
    <w:rsid w:val="00630BE9"/>
    <w:rsid w:val="00631205"/>
    <w:rsid w:val="00631247"/>
    <w:rsid w:val="006313B7"/>
    <w:rsid w:val="00632AFD"/>
    <w:rsid w:val="00632B1F"/>
    <w:rsid w:val="00633AAE"/>
    <w:rsid w:val="00633CBF"/>
    <w:rsid w:val="00633D64"/>
    <w:rsid w:val="00634760"/>
    <w:rsid w:val="006349D1"/>
    <w:rsid w:val="00635102"/>
    <w:rsid w:val="00635DDB"/>
    <w:rsid w:val="00636180"/>
    <w:rsid w:val="00636300"/>
    <w:rsid w:val="00636489"/>
    <w:rsid w:val="0063669F"/>
    <w:rsid w:val="006369A1"/>
    <w:rsid w:val="00640412"/>
    <w:rsid w:val="00642391"/>
    <w:rsid w:val="00642647"/>
    <w:rsid w:val="00643053"/>
    <w:rsid w:val="00643FF0"/>
    <w:rsid w:val="00644140"/>
    <w:rsid w:val="006441B9"/>
    <w:rsid w:val="006444FC"/>
    <w:rsid w:val="00646616"/>
    <w:rsid w:val="006466ED"/>
    <w:rsid w:val="0064740D"/>
    <w:rsid w:val="00647C7D"/>
    <w:rsid w:val="00647DCD"/>
    <w:rsid w:val="00650CB6"/>
    <w:rsid w:val="0065124E"/>
    <w:rsid w:val="0065168F"/>
    <w:rsid w:val="00651F7A"/>
    <w:rsid w:val="006520D6"/>
    <w:rsid w:val="00652190"/>
    <w:rsid w:val="00652781"/>
    <w:rsid w:val="00654192"/>
    <w:rsid w:val="006545FD"/>
    <w:rsid w:val="006547AD"/>
    <w:rsid w:val="006557B9"/>
    <w:rsid w:val="00655D80"/>
    <w:rsid w:val="00655EC5"/>
    <w:rsid w:val="00655F39"/>
    <w:rsid w:val="00656025"/>
    <w:rsid w:val="006561A9"/>
    <w:rsid w:val="0065732C"/>
    <w:rsid w:val="00657D71"/>
    <w:rsid w:val="006619BE"/>
    <w:rsid w:val="00661F65"/>
    <w:rsid w:val="006623D3"/>
    <w:rsid w:val="00662462"/>
    <w:rsid w:val="0066306D"/>
    <w:rsid w:val="006630B7"/>
    <w:rsid w:val="0066313B"/>
    <w:rsid w:val="00664120"/>
    <w:rsid w:val="006643DC"/>
    <w:rsid w:val="00665593"/>
    <w:rsid w:val="00665612"/>
    <w:rsid w:val="00665D11"/>
    <w:rsid w:val="00667486"/>
    <w:rsid w:val="0067044A"/>
    <w:rsid w:val="00670581"/>
    <w:rsid w:val="006705C6"/>
    <w:rsid w:val="00670A6D"/>
    <w:rsid w:val="0067226A"/>
    <w:rsid w:val="00672700"/>
    <w:rsid w:val="00673D72"/>
    <w:rsid w:val="006751A0"/>
    <w:rsid w:val="0067523F"/>
    <w:rsid w:val="0067563C"/>
    <w:rsid w:val="006759DC"/>
    <w:rsid w:val="006759F9"/>
    <w:rsid w:val="00675C4C"/>
    <w:rsid w:val="00675C5B"/>
    <w:rsid w:val="00675CFA"/>
    <w:rsid w:val="00676068"/>
    <w:rsid w:val="00676962"/>
    <w:rsid w:val="00676E35"/>
    <w:rsid w:val="00677263"/>
    <w:rsid w:val="00677328"/>
    <w:rsid w:val="00677C30"/>
    <w:rsid w:val="006805C1"/>
    <w:rsid w:val="0068076F"/>
    <w:rsid w:val="0068087A"/>
    <w:rsid w:val="00680F48"/>
    <w:rsid w:val="00683A6F"/>
    <w:rsid w:val="006845A9"/>
    <w:rsid w:val="006848BC"/>
    <w:rsid w:val="0068495A"/>
    <w:rsid w:val="006850D8"/>
    <w:rsid w:val="006858D6"/>
    <w:rsid w:val="00685B17"/>
    <w:rsid w:val="006879E7"/>
    <w:rsid w:val="00687E5A"/>
    <w:rsid w:val="00690BE9"/>
    <w:rsid w:val="006910F0"/>
    <w:rsid w:val="00691205"/>
    <w:rsid w:val="006919C0"/>
    <w:rsid w:val="006919C4"/>
    <w:rsid w:val="00691B44"/>
    <w:rsid w:val="00691C27"/>
    <w:rsid w:val="006929ED"/>
    <w:rsid w:val="00692EB4"/>
    <w:rsid w:val="006933AC"/>
    <w:rsid w:val="00693AEF"/>
    <w:rsid w:val="00694CFA"/>
    <w:rsid w:val="00694FDD"/>
    <w:rsid w:val="00695775"/>
    <w:rsid w:val="00695BA3"/>
    <w:rsid w:val="0069651A"/>
    <w:rsid w:val="006968E8"/>
    <w:rsid w:val="00696CFE"/>
    <w:rsid w:val="006975B4"/>
    <w:rsid w:val="0069760D"/>
    <w:rsid w:val="006978A1"/>
    <w:rsid w:val="006A0A70"/>
    <w:rsid w:val="006A12DD"/>
    <w:rsid w:val="006A168D"/>
    <w:rsid w:val="006A17E1"/>
    <w:rsid w:val="006A1D8D"/>
    <w:rsid w:val="006A2440"/>
    <w:rsid w:val="006A319E"/>
    <w:rsid w:val="006A3816"/>
    <w:rsid w:val="006A3EA1"/>
    <w:rsid w:val="006A520E"/>
    <w:rsid w:val="006A594C"/>
    <w:rsid w:val="006A646E"/>
    <w:rsid w:val="006A754A"/>
    <w:rsid w:val="006A7960"/>
    <w:rsid w:val="006B1280"/>
    <w:rsid w:val="006B1361"/>
    <w:rsid w:val="006B2475"/>
    <w:rsid w:val="006B270F"/>
    <w:rsid w:val="006B286C"/>
    <w:rsid w:val="006B2A21"/>
    <w:rsid w:val="006B2D53"/>
    <w:rsid w:val="006B3353"/>
    <w:rsid w:val="006B44E0"/>
    <w:rsid w:val="006B4FAC"/>
    <w:rsid w:val="006B597D"/>
    <w:rsid w:val="006B5E23"/>
    <w:rsid w:val="006B69BB"/>
    <w:rsid w:val="006B69D7"/>
    <w:rsid w:val="006B6CBC"/>
    <w:rsid w:val="006C0303"/>
    <w:rsid w:val="006C04FA"/>
    <w:rsid w:val="006C05B6"/>
    <w:rsid w:val="006C0EE7"/>
    <w:rsid w:val="006C22B6"/>
    <w:rsid w:val="006C391E"/>
    <w:rsid w:val="006C40FB"/>
    <w:rsid w:val="006C51C6"/>
    <w:rsid w:val="006C53E4"/>
    <w:rsid w:val="006C5440"/>
    <w:rsid w:val="006C5686"/>
    <w:rsid w:val="006C61B8"/>
    <w:rsid w:val="006C6F73"/>
    <w:rsid w:val="006C71F9"/>
    <w:rsid w:val="006C78B6"/>
    <w:rsid w:val="006C7F2D"/>
    <w:rsid w:val="006D0042"/>
    <w:rsid w:val="006D0EBF"/>
    <w:rsid w:val="006D0FC7"/>
    <w:rsid w:val="006D149C"/>
    <w:rsid w:val="006D2684"/>
    <w:rsid w:val="006D26B2"/>
    <w:rsid w:val="006D2881"/>
    <w:rsid w:val="006D2A4A"/>
    <w:rsid w:val="006D30B1"/>
    <w:rsid w:val="006D42DB"/>
    <w:rsid w:val="006D4E24"/>
    <w:rsid w:val="006D5901"/>
    <w:rsid w:val="006D7AF5"/>
    <w:rsid w:val="006D7DCE"/>
    <w:rsid w:val="006E0AA0"/>
    <w:rsid w:val="006E0CC6"/>
    <w:rsid w:val="006E17CE"/>
    <w:rsid w:val="006E17D7"/>
    <w:rsid w:val="006E1A19"/>
    <w:rsid w:val="006E1E15"/>
    <w:rsid w:val="006E270B"/>
    <w:rsid w:val="006E2717"/>
    <w:rsid w:val="006E2DAA"/>
    <w:rsid w:val="006E3B2A"/>
    <w:rsid w:val="006E473C"/>
    <w:rsid w:val="006E5DF9"/>
    <w:rsid w:val="006E754F"/>
    <w:rsid w:val="006E773B"/>
    <w:rsid w:val="006E7AED"/>
    <w:rsid w:val="006E7C04"/>
    <w:rsid w:val="006F0443"/>
    <w:rsid w:val="006F0EF6"/>
    <w:rsid w:val="006F1650"/>
    <w:rsid w:val="006F2430"/>
    <w:rsid w:val="006F42E3"/>
    <w:rsid w:val="006F473F"/>
    <w:rsid w:val="006F5617"/>
    <w:rsid w:val="006F647F"/>
    <w:rsid w:val="006F65AD"/>
    <w:rsid w:val="006F65D1"/>
    <w:rsid w:val="006F7D2D"/>
    <w:rsid w:val="00700186"/>
    <w:rsid w:val="0070042C"/>
    <w:rsid w:val="007004C6"/>
    <w:rsid w:val="007005EF"/>
    <w:rsid w:val="00701844"/>
    <w:rsid w:val="00701A41"/>
    <w:rsid w:val="007020D7"/>
    <w:rsid w:val="00702450"/>
    <w:rsid w:val="00702C2D"/>
    <w:rsid w:val="00703270"/>
    <w:rsid w:val="00703461"/>
    <w:rsid w:val="007036C6"/>
    <w:rsid w:val="00703887"/>
    <w:rsid w:val="0070406F"/>
    <w:rsid w:val="00705EC9"/>
    <w:rsid w:val="00706672"/>
    <w:rsid w:val="00706C35"/>
    <w:rsid w:val="00706C50"/>
    <w:rsid w:val="00707774"/>
    <w:rsid w:val="007104B5"/>
    <w:rsid w:val="00710520"/>
    <w:rsid w:val="007109B9"/>
    <w:rsid w:val="00710BA6"/>
    <w:rsid w:val="007110C4"/>
    <w:rsid w:val="00712DBE"/>
    <w:rsid w:val="00713737"/>
    <w:rsid w:val="00713AA2"/>
    <w:rsid w:val="007143C4"/>
    <w:rsid w:val="00714549"/>
    <w:rsid w:val="00714EF5"/>
    <w:rsid w:val="00714F44"/>
    <w:rsid w:val="0071529C"/>
    <w:rsid w:val="00715A94"/>
    <w:rsid w:val="007167E7"/>
    <w:rsid w:val="00716E0E"/>
    <w:rsid w:val="00717896"/>
    <w:rsid w:val="00720819"/>
    <w:rsid w:val="0072219E"/>
    <w:rsid w:val="00722556"/>
    <w:rsid w:val="00722AD4"/>
    <w:rsid w:val="0072396E"/>
    <w:rsid w:val="00723B2F"/>
    <w:rsid w:val="0072451D"/>
    <w:rsid w:val="007251AB"/>
    <w:rsid w:val="00725EF7"/>
    <w:rsid w:val="007271B2"/>
    <w:rsid w:val="0073037F"/>
    <w:rsid w:val="00730589"/>
    <w:rsid w:val="00731775"/>
    <w:rsid w:val="007318FA"/>
    <w:rsid w:val="00731B42"/>
    <w:rsid w:val="00731C02"/>
    <w:rsid w:val="007324C7"/>
    <w:rsid w:val="00732AD3"/>
    <w:rsid w:val="00732C0A"/>
    <w:rsid w:val="00733AAE"/>
    <w:rsid w:val="00733F3D"/>
    <w:rsid w:val="00734575"/>
    <w:rsid w:val="00737167"/>
    <w:rsid w:val="00737B56"/>
    <w:rsid w:val="00737E78"/>
    <w:rsid w:val="007421DD"/>
    <w:rsid w:val="0074230F"/>
    <w:rsid w:val="00742540"/>
    <w:rsid w:val="00744386"/>
    <w:rsid w:val="00744B1E"/>
    <w:rsid w:val="007451F6"/>
    <w:rsid w:val="0074562F"/>
    <w:rsid w:val="00745732"/>
    <w:rsid w:val="007461FD"/>
    <w:rsid w:val="0074684E"/>
    <w:rsid w:val="00746E37"/>
    <w:rsid w:val="00750572"/>
    <w:rsid w:val="007508C8"/>
    <w:rsid w:val="00751305"/>
    <w:rsid w:val="00751B08"/>
    <w:rsid w:val="00751ED8"/>
    <w:rsid w:val="0075363C"/>
    <w:rsid w:val="0075368E"/>
    <w:rsid w:val="00753AA0"/>
    <w:rsid w:val="00753C4B"/>
    <w:rsid w:val="00753D0E"/>
    <w:rsid w:val="00753E97"/>
    <w:rsid w:val="00754C42"/>
    <w:rsid w:val="00755091"/>
    <w:rsid w:val="007560C8"/>
    <w:rsid w:val="007565F9"/>
    <w:rsid w:val="007570CB"/>
    <w:rsid w:val="0075795A"/>
    <w:rsid w:val="00757DA1"/>
    <w:rsid w:val="00760B76"/>
    <w:rsid w:val="00762E1F"/>
    <w:rsid w:val="00763977"/>
    <w:rsid w:val="00764FC7"/>
    <w:rsid w:val="00765CF2"/>
    <w:rsid w:val="007666D5"/>
    <w:rsid w:val="00766D32"/>
    <w:rsid w:val="00767358"/>
    <w:rsid w:val="00767EDE"/>
    <w:rsid w:val="00770C5E"/>
    <w:rsid w:val="0077192E"/>
    <w:rsid w:val="00772683"/>
    <w:rsid w:val="00772AF4"/>
    <w:rsid w:val="00772D5D"/>
    <w:rsid w:val="00772D98"/>
    <w:rsid w:val="00773B62"/>
    <w:rsid w:val="00774A7A"/>
    <w:rsid w:val="007764AA"/>
    <w:rsid w:val="0077655A"/>
    <w:rsid w:val="00776E73"/>
    <w:rsid w:val="00777A35"/>
    <w:rsid w:val="007805D8"/>
    <w:rsid w:val="00780A10"/>
    <w:rsid w:val="00780D0D"/>
    <w:rsid w:val="00781DD6"/>
    <w:rsid w:val="00782150"/>
    <w:rsid w:val="00782204"/>
    <w:rsid w:val="00783245"/>
    <w:rsid w:val="00783658"/>
    <w:rsid w:val="00783E83"/>
    <w:rsid w:val="00783F37"/>
    <w:rsid w:val="00785B1F"/>
    <w:rsid w:val="00785D1A"/>
    <w:rsid w:val="0078611E"/>
    <w:rsid w:val="0078617D"/>
    <w:rsid w:val="00786655"/>
    <w:rsid w:val="007868C6"/>
    <w:rsid w:val="00787164"/>
    <w:rsid w:val="007874C7"/>
    <w:rsid w:val="007878C4"/>
    <w:rsid w:val="00790CFB"/>
    <w:rsid w:val="00790F03"/>
    <w:rsid w:val="007919AB"/>
    <w:rsid w:val="0079220E"/>
    <w:rsid w:val="00792D60"/>
    <w:rsid w:val="00792F89"/>
    <w:rsid w:val="00793199"/>
    <w:rsid w:val="00793452"/>
    <w:rsid w:val="0079433D"/>
    <w:rsid w:val="00795665"/>
    <w:rsid w:val="007959B8"/>
    <w:rsid w:val="00796D54"/>
    <w:rsid w:val="00797491"/>
    <w:rsid w:val="007A0071"/>
    <w:rsid w:val="007A0D8E"/>
    <w:rsid w:val="007A2503"/>
    <w:rsid w:val="007A2A2E"/>
    <w:rsid w:val="007A2F12"/>
    <w:rsid w:val="007A3808"/>
    <w:rsid w:val="007A3E20"/>
    <w:rsid w:val="007A3EB5"/>
    <w:rsid w:val="007A4982"/>
    <w:rsid w:val="007A4C42"/>
    <w:rsid w:val="007A585B"/>
    <w:rsid w:val="007A5E1E"/>
    <w:rsid w:val="007A5EF6"/>
    <w:rsid w:val="007A657A"/>
    <w:rsid w:val="007A65D2"/>
    <w:rsid w:val="007A6BC2"/>
    <w:rsid w:val="007A6DAF"/>
    <w:rsid w:val="007A7896"/>
    <w:rsid w:val="007B056F"/>
    <w:rsid w:val="007B0F51"/>
    <w:rsid w:val="007B1218"/>
    <w:rsid w:val="007B4084"/>
    <w:rsid w:val="007B4563"/>
    <w:rsid w:val="007B493B"/>
    <w:rsid w:val="007B49B6"/>
    <w:rsid w:val="007B5B31"/>
    <w:rsid w:val="007B5E20"/>
    <w:rsid w:val="007B5E37"/>
    <w:rsid w:val="007B69B5"/>
    <w:rsid w:val="007B717D"/>
    <w:rsid w:val="007B7A0F"/>
    <w:rsid w:val="007B7B58"/>
    <w:rsid w:val="007B7C6E"/>
    <w:rsid w:val="007C07FA"/>
    <w:rsid w:val="007C1475"/>
    <w:rsid w:val="007C1692"/>
    <w:rsid w:val="007C175D"/>
    <w:rsid w:val="007C177E"/>
    <w:rsid w:val="007C1A5A"/>
    <w:rsid w:val="007C2DB8"/>
    <w:rsid w:val="007C2E4D"/>
    <w:rsid w:val="007C38D5"/>
    <w:rsid w:val="007C3A7C"/>
    <w:rsid w:val="007C3C06"/>
    <w:rsid w:val="007C4BC0"/>
    <w:rsid w:val="007C517B"/>
    <w:rsid w:val="007C545B"/>
    <w:rsid w:val="007C55A2"/>
    <w:rsid w:val="007C5628"/>
    <w:rsid w:val="007C5D76"/>
    <w:rsid w:val="007C67F1"/>
    <w:rsid w:val="007D051E"/>
    <w:rsid w:val="007D0C50"/>
    <w:rsid w:val="007D0DFE"/>
    <w:rsid w:val="007D0E10"/>
    <w:rsid w:val="007D2A82"/>
    <w:rsid w:val="007D2C7D"/>
    <w:rsid w:val="007D31CF"/>
    <w:rsid w:val="007D37D4"/>
    <w:rsid w:val="007D37E0"/>
    <w:rsid w:val="007D3BBC"/>
    <w:rsid w:val="007D4499"/>
    <w:rsid w:val="007D541F"/>
    <w:rsid w:val="007D6550"/>
    <w:rsid w:val="007D7182"/>
    <w:rsid w:val="007D753A"/>
    <w:rsid w:val="007D769E"/>
    <w:rsid w:val="007E0D9A"/>
    <w:rsid w:val="007E0FAD"/>
    <w:rsid w:val="007E15DE"/>
    <w:rsid w:val="007E1FBA"/>
    <w:rsid w:val="007E3964"/>
    <w:rsid w:val="007E4108"/>
    <w:rsid w:val="007E52BF"/>
    <w:rsid w:val="007E608B"/>
    <w:rsid w:val="007E67E4"/>
    <w:rsid w:val="007E6D1B"/>
    <w:rsid w:val="007E77A8"/>
    <w:rsid w:val="007E794A"/>
    <w:rsid w:val="007F045C"/>
    <w:rsid w:val="007F1187"/>
    <w:rsid w:val="007F176B"/>
    <w:rsid w:val="007F1A56"/>
    <w:rsid w:val="007F1C0D"/>
    <w:rsid w:val="007F2FDE"/>
    <w:rsid w:val="007F47FA"/>
    <w:rsid w:val="007F536C"/>
    <w:rsid w:val="007F7404"/>
    <w:rsid w:val="007F7C14"/>
    <w:rsid w:val="007F7E29"/>
    <w:rsid w:val="008000D6"/>
    <w:rsid w:val="00800367"/>
    <w:rsid w:val="008008D4"/>
    <w:rsid w:val="008009CF"/>
    <w:rsid w:val="008012AB"/>
    <w:rsid w:val="008017EF"/>
    <w:rsid w:val="00801EB7"/>
    <w:rsid w:val="0080220E"/>
    <w:rsid w:val="008025E7"/>
    <w:rsid w:val="00802B49"/>
    <w:rsid w:val="00802CBB"/>
    <w:rsid w:val="0080370E"/>
    <w:rsid w:val="00803E4F"/>
    <w:rsid w:val="00803FC7"/>
    <w:rsid w:val="00804149"/>
    <w:rsid w:val="00804FCC"/>
    <w:rsid w:val="008054DB"/>
    <w:rsid w:val="008058E6"/>
    <w:rsid w:val="00805BA6"/>
    <w:rsid w:val="00806E8E"/>
    <w:rsid w:val="00807150"/>
    <w:rsid w:val="0080765E"/>
    <w:rsid w:val="00807705"/>
    <w:rsid w:val="00810972"/>
    <w:rsid w:val="00811094"/>
    <w:rsid w:val="00811245"/>
    <w:rsid w:val="008112DE"/>
    <w:rsid w:val="00811328"/>
    <w:rsid w:val="008116C9"/>
    <w:rsid w:val="0081181A"/>
    <w:rsid w:val="008118BB"/>
    <w:rsid w:val="00811AF1"/>
    <w:rsid w:val="00811BC9"/>
    <w:rsid w:val="00812367"/>
    <w:rsid w:val="008143CA"/>
    <w:rsid w:val="008148E7"/>
    <w:rsid w:val="00814CD1"/>
    <w:rsid w:val="0081621D"/>
    <w:rsid w:val="00817426"/>
    <w:rsid w:val="008201B1"/>
    <w:rsid w:val="008208B4"/>
    <w:rsid w:val="00820D64"/>
    <w:rsid w:val="00820F0A"/>
    <w:rsid w:val="00821C72"/>
    <w:rsid w:val="00821D37"/>
    <w:rsid w:val="0082255C"/>
    <w:rsid w:val="008226E9"/>
    <w:rsid w:val="00823116"/>
    <w:rsid w:val="00823AA8"/>
    <w:rsid w:val="0082488D"/>
    <w:rsid w:val="00824B45"/>
    <w:rsid w:val="00825A45"/>
    <w:rsid w:val="00825BA6"/>
    <w:rsid w:val="00825BF3"/>
    <w:rsid w:val="00825DA5"/>
    <w:rsid w:val="00826669"/>
    <w:rsid w:val="008270C7"/>
    <w:rsid w:val="00830EC6"/>
    <w:rsid w:val="00831432"/>
    <w:rsid w:val="00831750"/>
    <w:rsid w:val="00831974"/>
    <w:rsid w:val="0083203E"/>
    <w:rsid w:val="00832A9B"/>
    <w:rsid w:val="0083368E"/>
    <w:rsid w:val="008336A3"/>
    <w:rsid w:val="00833709"/>
    <w:rsid w:val="00835092"/>
    <w:rsid w:val="008355A2"/>
    <w:rsid w:val="008359EA"/>
    <w:rsid w:val="00835BD7"/>
    <w:rsid w:val="008366BA"/>
    <w:rsid w:val="008366D1"/>
    <w:rsid w:val="00836920"/>
    <w:rsid w:val="00836EF3"/>
    <w:rsid w:val="00837D21"/>
    <w:rsid w:val="00840834"/>
    <w:rsid w:val="00840E55"/>
    <w:rsid w:val="0084124C"/>
    <w:rsid w:val="00843439"/>
    <w:rsid w:val="00844031"/>
    <w:rsid w:val="00844E66"/>
    <w:rsid w:val="00845DD9"/>
    <w:rsid w:val="00846AF8"/>
    <w:rsid w:val="008502B1"/>
    <w:rsid w:val="00850387"/>
    <w:rsid w:val="008512AD"/>
    <w:rsid w:val="00851832"/>
    <w:rsid w:val="0085203C"/>
    <w:rsid w:val="0085399E"/>
    <w:rsid w:val="00855A1A"/>
    <w:rsid w:val="00855A59"/>
    <w:rsid w:val="00855A8E"/>
    <w:rsid w:val="00855E6D"/>
    <w:rsid w:val="0085629D"/>
    <w:rsid w:val="00856AD7"/>
    <w:rsid w:val="008572EA"/>
    <w:rsid w:val="008574CE"/>
    <w:rsid w:val="0085763B"/>
    <w:rsid w:val="008577D2"/>
    <w:rsid w:val="008578AC"/>
    <w:rsid w:val="00860065"/>
    <w:rsid w:val="00860882"/>
    <w:rsid w:val="008612C9"/>
    <w:rsid w:val="00861655"/>
    <w:rsid w:val="00862007"/>
    <w:rsid w:val="008622C3"/>
    <w:rsid w:val="008635C2"/>
    <w:rsid w:val="00863984"/>
    <w:rsid w:val="00864092"/>
    <w:rsid w:val="00864955"/>
    <w:rsid w:val="00865137"/>
    <w:rsid w:val="00865C69"/>
    <w:rsid w:val="00865F3A"/>
    <w:rsid w:val="00865F46"/>
    <w:rsid w:val="00866844"/>
    <w:rsid w:val="00866982"/>
    <w:rsid w:val="008679BF"/>
    <w:rsid w:val="008703D3"/>
    <w:rsid w:val="00871C8A"/>
    <w:rsid w:val="00872122"/>
    <w:rsid w:val="00872619"/>
    <w:rsid w:val="0087283B"/>
    <w:rsid w:val="00872BD6"/>
    <w:rsid w:val="008744C8"/>
    <w:rsid w:val="00874BCE"/>
    <w:rsid w:val="00874EE5"/>
    <w:rsid w:val="00875EFA"/>
    <w:rsid w:val="00876F40"/>
    <w:rsid w:val="0087733D"/>
    <w:rsid w:val="00880830"/>
    <w:rsid w:val="0088122A"/>
    <w:rsid w:val="00881382"/>
    <w:rsid w:val="008816E5"/>
    <w:rsid w:val="00881DA8"/>
    <w:rsid w:val="00882213"/>
    <w:rsid w:val="00882877"/>
    <w:rsid w:val="00882C03"/>
    <w:rsid w:val="0088328A"/>
    <w:rsid w:val="00883890"/>
    <w:rsid w:val="00884B77"/>
    <w:rsid w:val="00885A92"/>
    <w:rsid w:val="008863F6"/>
    <w:rsid w:val="00886B7D"/>
    <w:rsid w:val="00886C1A"/>
    <w:rsid w:val="00886F32"/>
    <w:rsid w:val="00886FDD"/>
    <w:rsid w:val="008870FD"/>
    <w:rsid w:val="0088775B"/>
    <w:rsid w:val="00887B0F"/>
    <w:rsid w:val="00887C9F"/>
    <w:rsid w:val="00890449"/>
    <w:rsid w:val="00891532"/>
    <w:rsid w:val="00892F62"/>
    <w:rsid w:val="008949CA"/>
    <w:rsid w:val="00894BA4"/>
    <w:rsid w:val="008953F2"/>
    <w:rsid w:val="00896236"/>
    <w:rsid w:val="00896653"/>
    <w:rsid w:val="00897158"/>
    <w:rsid w:val="00897460"/>
    <w:rsid w:val="00897E3C"/>
    <w:rsid w:val="008A0313"/>
    <w:rsid w:val="008A05E4"/>
    <w:rsid w:val="008A0BEC"/>
    <w:rsid w:val="008A16FD"/>
    <w:rsid w:val="008A1DB4"/>
    <w:rsid w:val="008A2DAA"/>
    <w:rsid w:val="008A32F2"/>
    <w:rsid w:val="008A3344"/>
    <w:rsid w:val="008A40BC"/>
    <w:rsid w:val="008A4648"/>
    <w:rsid w:val="008A46A3"/>
    <w:rsid w:val="008A4A44"/>
    <w:rsid w:val="008A4C1B"/>
    <w:rsid w:val="008A66A2"/>
    <w:rsid w:val="008A6976"/>
    <w:rsid w:val="008A746A"/>
    <w:rsid w:val="008B1350"/>
    <w:rsid w:val="008B2678"/>
    <w:rsid w:val="008B2AC7"/>
    <w:rsid w:val="008B3A8E"/>
    <w:rsid w:val="008B3E59"/>
    <w:rsid w:val="008B49BB"/>
    <w:rsid w:val="008B54CB"/>
    <w:rsid w:val="008B5714"/>
    <w:rsid w:val="008B5DAD"/>
    <w:rsid w:val="008B5E54"/>
    <w:rsid w:val="008B69A6"/>
    <w:rsid w:val="008B72DA"/>
    <w:rsid w:val="008B7F8C"/>
    <w:rsid w:val="008C041F"/>
    <w:rsid w:val="008C1E41"/>
    <w:rsid w:val="008C1F4D"/>
    <w:rsid w:val="008C1F73"/>
    <w:rsid w:val="008C21CF"/>
    <w:rsid w:val="008C22B0"/>
    <w:rsid w:val="008C31EB"/>
    <w:rsid w:val="008C3C1A"/>
    <w:rsid w:val="008C591C"/>
    <w:rsid w:val="008C66FA"/>
    <w:rsid w:val="008C755B"/>
    <w:rsid w:val="008C793D"/>
    <w:rsid w:val="008D018E"/>
    <w:rsid w:val="008D0F74"/>
    <w:rsid w:val="008D212E"/>
    <w:rsid w:val="008D223B"/>
    <w:rsid w:val="008D2723"/>
    <w:rsid w:val="008D2869"/>
    <w:rsid w:val="008D2AB9"/>
    <w:rsid w:val="008D2C93"/>
    <w:rsid w:val="008D3107"/>
    <w:rsid w:val="008D4042"/>
    <w:rsid w:val="008D54D6"/>
    <w:rsid w:val="008D588C"/>
    <w:rsid w:val="008D635F"/>
    <w:rsid w:val="008D67E9"/>
    <w:rsid w:val="008D6F9E"/>
    <w:rsid w:val="008D713C"/>
    <w:rsid w:val="008D7191"/>
    <w:rsid w:val="008D7847"/>
    <w:rsid w:val="008E0037"/>
    <w:rsid w:val="008E004C"/>
    <w:rsid w:val="008E02C1"/>
    <w:rsid w:val="008E05BC"/>
    <w:rsid w:val="008E1AD4"/>
    <w:rsid w:val="008E1B39"/>
    <w:rsid w:val="008E3334"/>
    <w:rsid w:val="008E3708"/>
    <w:rsid w:val="008E45EC"/>
    <w:rsid w:val="008E4DE8"/>
    <w:rsid w:val="008E523B"/>
    <w:rsid w:val="008E5D07"/>
    <w:rsid w:val="008E624A"/>
    <w:rsid w:val="008E6378"/>
    <w:rsid w:val="008E6F1D"/>
    <w:rsid w:val="008E739A"/>
    <w:rsid w:val="008E7AA7"/>
    <w:rsid w:val="008F0404"/>
    <w:rsid w:val="008F0BAE"/>
    <w:rsid w:val="008F0D02"/>
    <w:rsid w:val="008F0FA7"/>
    <w:rsid w:val="008F12F6"/>
    <w:rsid w:val="008F1328"/>
    <w:rsid w:val="008F1382"/>
    <w:rsid w:val="008F20C9"/>
    <w:rsid w:val="008F2A72"/>
    <w:rsid w:val="008F2EB3"/>
    <w:rsid w:val="008F3ADB"/>
    <w:rsid w:val="008F41E5"/>
    <w:rsid w:val="008F5C80"/>
    <w:rsid w:val="008F5DDC"/>
    <w:rsid w:val="008F6543"/>
    <w:rsid w:val="008F6D81"/>
    <w:rsid w:val="008F6F71"/>
    <w:rsid w:val="008F6F93"/>
    <w:rsid w:val="008F716B"/>
    <w:rsid w:val="008F7EBF"/>
    <w:rsid w:val="00900350"/>
    <w:rsid w:val="009006E6"/>
    <w:rsid w:val="00900FB7"/>
    <w:rsid w:val="009020E4"/>
    <w:rsid w:val="009025EB"/>
    <w:rsid w:val="0090312D"/>
    <w:rsid w:val="0090397B"/>
    <w:rsid w:val="00903BE3"/>
    <w:rsid w:val="00903D14"/>
    <w:rsid w:val="00905469"/>
    <w:rsid w:val="0090609E"/>
    <w:rsid w:val="009062B4"/>
    <w:rsid w:val="009068C6"/>
    <w:rsid w:val="009074D4"/>
    <w:rsid w:val="0090754C"/>
    <w:rsid w:val="00907699"/>
    <w:rsid w:val="00907926"/>
    <w:rsid w:val="00907B56"/>
    <w:rsid w:val="009103DF"/>
    <w:rsid w:val="00910B77"/>
    <w:rsid w:val="00910D72"/>
    <w:rsid w:val="009116F1"/>
    <w:rsid w:val="00911926"/>
    <w:rsid w:val="00911E1C"/>
    <w:rsid w:val="00911FDD"/>
    <w:rsid w:val="009125C5"/>
    <w:rsid w:val="00912A93"/>
    <w:rsid w:val="00913015"/>
    <w:rsid w:val="009137C0"/>
    <w:rsid w:val="00913F76"/>
    <w:rsid w:val="009141A5"/>
    <w:rsid w:val="00914C65"/>
    <w:rsid w:val="00914F3E"/>
    <w:rsid w:val="009159C9"/>
    <w:rsid w:val="009172AA"/>
    <w:rsid w:val="00917ED5"/>
    <w:rsid w:val="00920017"/>
    <w:rsid w:val="009204C9"/>
    <w:rsid w:val="0092091B"/>
    <w:rsid w:val="00920947"/>
    <w:rsid w:val="00920BA0"/>
    <w:rsid w:val="0092103E"/>
    <w:rsid w:val="00922EA8"/>
    <w:rsid w:val="0092609D"/>
    <w:rsid w:val="009260CD"/>
    <w:rsid w:val="009270CD"/>
    <w:rsid w:val="00927696"/>
    <w:rsid w:val="00927784"/>
    <w:rsid w:val="009318CD"/>
    <w:rsid w:val="00931A2E"/>
    <w:rsid w:val="00932BAE"/>
    <w:rsid w:val="009346B0"/>
    <w:rsid w:val="00934900"/>
    <w:rsid w:val="0093496E"/>
    <w:rsid w:val="009356DF"/>
    <w:rsid w:val="00935AC3"/>
    <w:rsid w:val="00935B17"/>
    <w:rsid w:val="00935F3C"/>
    <w:rsid w:val="00936120"/>
    <w:rsid w:val="00940716"/>
    <w:rsid w:val="0094155A"/>
    <w:rsid w:val="00941F07"/>
    <w:rsid w:val="00942C32"/>
    <w:rsid w:val="00942E37"/>
    <w:rsid w:val="00942F30"/>
    <w:rsid w:val="009433C5"/>
    <w:rsid w:val="009440B8"/>
    <w:rsid w:val="00944271"/>
    <w:rsid w:val="00944FAB"/>
    <w:rsid w:val="0094547C"/>
    <w:rsid w:val="009456E0"/>
    <w:rsid w:val="009457C1"/>
    <w:rsid w:val="00945803"/>
    <w:rsid w:val="009472E1"/>
    <w:rsid w:val="00947CAF"/>
    <w:rsid w:val="00947D85"/>
    <w:rsid w:val="009509CF"/>
    <w:rsid w:val="00950B01"/>
    <w:rsid w:val="00950D35"/>
    <w:rsid w:val="00950E39"/>
    <w:rsid w:val="00950EC0"/>
    <w:rsid w:val="009523AE"/>
    <w:rsid w:val="00952631"/>
    <w:rsid w:val="00952661"/>
    <w:rsid w:val="00952942"/>
    <w:rsid w:val="00952ACC"/>
    <w:rsid w:val="00952BF0"/>
    <w:rsid w:val="00953B25"/>
    <w:rsid w:val="009542F1"/>
    <w:rsid w:val="00954545"/>
    <w:rsid w:val="0095476E"/>
    <w:rsid w:val="00954C3D"/>
    <w:rsid w:val="00954CAA"/>
    <w:rsid w:val="00954E8E"/>
    <w:rsid w:val="00954F51"/>
    <w:rsid w:val="00955575"/>
    <w:rsid w:val="0095684E"/>
    <w:rsid w:val="00956DFD"/>
    <w:rsid w:val="00956FC0"/>
    <w:rsid w:val="00960D7A"/>
    <w:rsid w:val="00961434"/>
    <w:rsid w:val="00961B5E"/>
    <w:rsid w:val="00962A51"/>
    <w:rsid w:val="0096355E"/>
    <w:rsid w:val="009645AA"/>
    <w:rsid w:val="009648D0"/>
    <w:rsid w:val="00964930"/>
    <w:rsid w:val="00964CFE"/>
    <w:rsid w:val="00965C93"/>
    <w:rsid w:val="00966363"/>
    <w:rsid w:val="00966480"/>
    <w:rsid w:val="009665E9"/>
    <w:rsid w:val="00966660"/>
    <w:rsid w:val="00967D75"/>
    <w:rsid w:val="0097035A"/>
    <w:rsid w:val="009708E5"/>
    <w:rsid w:val="00970A53"/>
    <w:rsid w:val="0097123D"/>
    <w:rsid w:val="0097160E"/>
    <w:rsid w:val="00972425"/>
    <w:rsid w:val="00972B4D"/>
    <w:rsid w:val="009730E0"/>
    <w:rsid w:val="00974E22"/>
    <w:rsid w:val="009751F0"/>
    <w:rsid w:val="00975402"/>
    <w:rsid w:val="0097598D"/>
    <w:rsid w:val="00975E9A"/>
    <w:rsid w:val="009762B8"/>
    <w:rsid w:val="0097671E"/>
    <w:rsid w:val="009768A1"/>
    <w:rsid w:val="00976EA1"/>
    <w:rsid w:val="009773C5"/>
    <w:rsid w:val="009779B0"/>
    <w:rsid w:val="00977F2D"/>
    <w:rsid w:val="00981074"/>
    <w:rsid w:val="00982C49"/>
    <w:rsid w:val="00982C6A"/>
    <w:rsid w:val="00982C8F"/>
    <w:rsid w:val="00982D9F"/>
    <w:rsid w:val="0098393D"/>
    <w:rsid w:val="00985004"/>
    <w:rsid w:val="009855CB"/>
    <w:rsid w:val="00985A74"/>
    <w:rsid w:val="00986469"/>
    <w:rsid w:val="0098748B"/>
    <w:rsid w:val="00987DBD"/>
    <w:rsid w:val="00991507"/>
    <w:rsid w:val="009916A9"/>
    <w:rsid w:val="00991A0C"/>
    <w:rsid w:val="00991E14"/>
    <w:rsid w:val="00992119"/>
    <w:rsid w:val="009926C4"/>
    <w:rsid w:val="009932DF"/>
    <w:rsid w:val="00993448"/>
    <w:rsid w:val="00993866"/>
    <w:rsid w:val="00993D5C"/>
    <w:rsid w:val="0099414B"/>
    <w:rsid w:val="0099421A"/>
    <w:rsid w:val="009942A8"/>
    <w:rsid w:val="00995448"/>
    <w:rsid w:val="00997338"/>
    <w:rsid w:val="009974D1"/>
    <w:rsid w:val="00997953"/>
    <w:rsid w:val="00997AD6"/>
    <w:rsid w:val="009A1090"/>
    <w:rsid w:val="009A1B85"/>
    <w:rsid w:val="009A2258"/>
    <w:rsid w:val="009A29DF"/>
    <w:rsid w:val="009A2DF3"/>
    <w:rsid w:val="009A33E5"/>
    <w:rsid w:val="009A3538"/>
    <w:rsid w:val="009A3616"/>
    <w:rsid w:val="009A453D"/>
    <w:rsid w:val="009A4B8F"/>
    <w:rsid w:val="009A53A9"/>
    <w:rsid w:val="009A5CF8"/>
    <w:rsid w:val="009A5ED3"/>
    <w:rsid w:val="009A6B81"/>
    <w:rsid w:val="009A73FF"/>
    <w:rsid w:val="009A754C"/>
    <w:rsid w:val="009B03DB"/>
    <w:rsid w:val="009B05CF"/>
    <w:rsid w:val="009B190A"/>
    <w:rsid w:val="009B40E8"/>
    <w:rsid w:val="009B4887"/>
    <w:rsid w:val="009B5547"/>
    <w:rsid w:val="009B6B55"/>
    <w:rsid w:val="009B7653"/>
    <w:rsid w:val="009B76C5"/>
    <w:rsid w:val="009C1244"/>
    <w:rsid w:val="009C1D37"/>
    <w:rsid w:val="009C2692"/>
    <w:rsid w:val="009C26FD"/>
    <w:rsid w:val="009C2D8B"/>
    <w:rsid w:val="009C3299"/>
    <w:rsid w:val="009C4695"/>
    <w:rsid w:val="009C4731"/>
    <w:rsid w:val="009C4E2A"/>
    <w:rsid w:val="009C5217"/>
    <w:rsid w:val="009C5817"/>
    <w:rsid w:val="009C6377"/>
    <w:rsid w:val="009C75CC"/>
    <w:rsid w:val="009C77BE"/>
    <w:rsid w:val="009C7917"/>
    <w:rsid w:val="009C7E90"/>
    <w:rsid w:val="009D05D6"/>
    <w:rsid w:val="009D090F"/>
    <w:rsid w:val="009D1BFA"/>
    <w:rsid w:val="009D2020"/>
    <w:rsid w:val="009D31A9"/>
    <w:rsid w:val="009D3593"/>
    <w:rsid w:val="009D3EAD"/>
    <w:rsid w:val="009D40E8"/>
    <w:rsid w:val="009D47F6"/>
    <w:rsid w:val="009D49A8"/>
    <w:rsid w:val="009D5229"/>
    <w:rsid w:val="009D56E1"/>
    <w:rsid w:val="009D5ED2"/>
    <w:rsid w:val="009D6AFB"/>
    <w:rsid w:val="009D6BED"/>
    <w:rsid w:val="009D6C0D"/>
    <w:rsid w:val="009D7EDD"/>
    <w:rsid w:val="009E02EC"/>
    <w:rsid w:val="009E07E0"/>
    <w:rsid w:val="009E118D"/>
    <w:rsid w:val="009E13C2"/>
    <w:rsid w:val="009E2779"/>
    <w:rsid w:val="009E29E7"/>
    <w:rsid w:val="009E3253"/>
    <w:rsid w:val="009E3748"/>
    <w:rsid w:val="009E3B46"/>
    <w:rsid w:val="009E4776"/>
    <w:rsid w:val="009E4B74"/>
    <w:rsid w:val="009E4FF9"/>
    <w:rsid w:val="009E50C3"/>
    <w:rsid w:val="009E58EA"/>
    <w:rsid w:val="009E7213"/>
    <w:rsid w:val="009F1843"/>
    <w:rsid w:val="009F2E3B"/>
    <w:rsid w:val="009F2FD0"/>
    <w:rsid w:val="009F3263"/>
    <w:rsid w:val="009F3E50"/>
    <w:rsid w:val="009F3E7F"/>
    <w:rsid w:val="009F42A6"/>
    <w:rsid w:val="009F42D0"/>
    <w:rsid w:val="009F456B"/>
    <w:rsid w:val="009F4A63"/>
    <w:rsid w:val="009F4D5E"/>
    <w:rsid w:val="009F4D74"/>
    <w:rsid w:val="009F4FDA"/>
    <w:rsid w:val="009F5E15"/>
    <w:rsid w:val="009F6447"/>
    <w:rsid w:val="009F79FB"/>
    <w:rsid w:val="00A0035A"/>
    <w:rsid w:val="00A00B0B"/>
    <w:rsid w:val="00A00C85"/>
    <w:rsid w:val="00A011CA"/>
    <w:rsid w:val="00A017AB"/>
    <w:rsid w:val="00A017B5"/>
    <w:rsid w:val="00A0282D"/>
    <w:rsid w:val="00A028E1"/>
    <w:rsid w:val="00A02CE8"/>
    <w:rsid w:val="00A04E00"/>
    <w:rsid w:val="00A052A9"/>
    <w:rsid w:val="00A05905"/>
    <w:rsid w:val="00A05FA8"/>
    <w:rsid w:val="00A07343"/>
    <w:rsid w:val="00A07E38"/>
    <w:rsid w:val="00A109CC"/>
    <w:rsid w:val="00A10C25"/>
    <w:rsid w:val="00A10FFC"/>
    <w:rsid w:val="00A1119A"/>
    <w:rsid w:val="00A1195C"/>
    <w:rsid w:val="00A11CD4"/>
    <w:rsid w:val="00A11EAB"/>
    <w:rsid w:val="00A12118"/>
    <w:rsid w:val="00A12870"/>
    <w:rsid w:val="00A13219"/>
    <w:rsid w:val="00A1369B"/>
    <w:rsid w:val="00A136FC"/>
    <w:rsid w:val="00A13B74"/>
    <w:rsid w:val="00A141F8"/>
    <w:rsid w:val="00A14E18"/>
    <w:rsid w:val="00A15BFF"/>
    <w:rsid w:val="00A167DD"/>
    <w:rsid w:val="00A16E94"/>
    <w:rsid w:val="00A16EF1"/>
    <w:rsid w:val="00A17842"/>
    <w:rsid w:val="00A208AD"/>
    <w:rsid w:val="00A20A05"/>
    <w:rsid w:val="00A2102A"/>
    <w:rsid w:val="00A2117A"/>
    <w:rsid w:val="00A21301"/>
    <w:rsid w:val="00A2156A"/>
    <w:rsid w:val="00A220E3"/>
    <w:rsid w:val="00A22162"/>
    <w:rsid w:val="00A22575"/>
    <w:rsid w:val="00A225C7"/>
    <w:rsid w:val="00A22BF2"/>
    <w:rsid w:val="00A234F5"/>
    <w:rsid w:val="00A2354A"/>
    <w:rsid w:val="00A23B7F"/>
    <w:rsid w:val="00A23BBB"/>
    <w:rsid w:val="00A23F32"/>
    <w:rsid w:val="00A24147"/>
    <w:rsid w:val="00A24283"/>
    <w:rsid w:val="00A24669"/>
    <w:rsid w:val="00A26AEF"/>
    <w:rsid w:val="00A275C9"/>
    <w:rsid w:val="00A27D89"/>
    <w:rsid w:val="00A27E38"/>
    <w:rsid w:val="00A315E0"/>
    <w:rsid w:val="00A31E60"/>
    <w:rsid w:val="00A3284B"/>
    <w:rsid w:val="00A32EFC"/>
    <w:rsid w:val="00A344F5"/>
    <w:rsid w:val="00A344FE"/>
    <w:rsid w:val="00A34917"/>
    <w:rsid w:val="00A34ABA"/>
    <w:rsid w:val="00A370F6"/>
    <w:rsid w:val="00A4019B"/>
    <w:rsid w:val="00A404EF"/>
    <w:rsid w:val="00A41945"/>
    <w:rsid w:val="00A430E2"/>
    <w:rsid w:val="00A44843"/>
    <w:rsid w:val="00A44F25"/>
    <w:rsid w:val="00A45695"/>
    <w:rsid w:val="00A45795"/>
    <w:rsid w:val="00A45A47"/>
    <w:rsid w:val="00A45C47"/>
    <w:rsid w:val="00A4604D"/>
    <w:rsid w:val="00A4639A"/>
    <w:rsid w:val="00A46454"/>
    <w:rsid w:val="00A46A96"/>
    <w:rsid w:val="00A4757B"/>
    <w:rsid w:val="00A47A5B"/>
    <w:rsid w:val="00A47EF5"/>
    <w:rsid w:val="00A50705"/>
    <w:rsid w:val="00A50C90"/>
    <w:rsid w:val="00A52A36"/>
    <w:rsid w:val="00A533B2"/>
    <w:rsid w:val="00A54428"/>
    <w:rsid w:val="00A55E05"/>
    <w:rsid w:val="00A564B5"/>
    <w:rsid w:val="00A573D8"/>
    <w:rsid w:val="00A57549"/>
    <w:rsid w:val="00A57809"/>
    <w:rsid w:val="00A605AE"/>
    <w:rsid w:val="00A622A8"/>
    <w:rsid w:val="00A62A29"/>
    <w:rsid w:val="00A62EA7"/>
    <w:rsid w:val="00A638C7"/>
    <w:rsid w:val="00A644CB"/>
    <w:rsid w:val="00A649A6"/>
    <w:rsid w:val="00A65DAF"/>
    <w:rsid w:val="00A66509"/>
    <w:rsid w:val="00A666A7"/>
    <w:rsid w:val="00A666AD"/>
    <w:rsid w:val="00A66C2C"/>
    <w:rsid w:val="00A66F47"/>
    <w:rsid w:val="00A67E78"/>
    <w:rsid w:val="00A67F8A"/>
    <w:rsid w:val="00A703EE"/>
    <w:rsid w:val="00A709FE"/>
    <w:rsid w:val="00A73B40"/>
    <w:rsid w:val="00A73DA0"/>
    <w:rsid w:val="00A73DBF"/>
    <w:rsid w:val="00A73EA9"/>
    <w:rsid w:val="00A7411C"/>
    <w:rsid w:val="00A760FE"/>
    <w:rsid w:val="00A76822"/>
    <w:rsid w:val="00A772C4"/>
    <w:rsid w:val="00A77336"/>
    <w:rsid w:val="00A77BD6"/>
    <w:rsid w:val="00A77FFD"/>
    <w:rsid w:val="00A80013"/>
    <w:rsid w:val="00A81AAF"/>
    <w:rsid w:val="00A8212E"/>
    <w:rsid w:val="00A8257C"/>
    <w:rsid w:val="00A828D7"/>
    <w:rsid w:val="00A82B77"/>
    <w:rsid w:val="00A834AC"/>
    <w:rsid w:val="00A84658"/>
    <w:rsid w:val="00A84B7A"/>
    <w:rsid w:val="00A85190"/>
    <w:rsid w:val="00A85247"/>
    <w:rsid w:val="00A85484"/>
    <w:rsid w:val="00A85504"/>
    <w:rsid w:val="00A858DE"/>
    <w:rsid w:val="00A85CC0"/>
    <w:rsid w:val="00A85DE4"/>
    <w:rsid w:val="00A86674"/>
    <w:rsid w:val="00A86687"/>
    <w:rsid w:val="00A86688"/>
    <w:rsid w:val="00A8712F"/>
    <w:rsid w:val="00A878C3"/>
    <w:rsid w:val="00A87EA7"/>
    <w:rsid w:val="00A90555"/>
    <w:rsid w:val="00A90F75"/>
    <w:rsid w:val="00A91079"/>
    <w:rsid w:val="00A912B6"/>
    <w:rsid w:val="00A91770"/>
    <w:rsid w:val="00A92180"/>
    <w:rsid w:val="00A93CD3"/>
    <w:rsid w:val="00A941B8"/>
    <w:rsid w:val="00A9447D"/>
    <w:rsid w:val="00A9531A"/>
    <w:rsid w:val="00A9534A"/>
    <w:rsid w:val="00A96454"/>
    <w:rsid w:val="00A9688B"/>
    <w:rsid w:val="00A97364"/>
    <w:rsid w:val="00A97765"/>
    <w:rsid w:val="00A97B8A"/>
    <w:rsid w:val="00AA0A2D"/>
    <w:rsid w:val="00AA0DCB"/>
    <w:rsid w:val="00AA12E2"/>
    <w:rsid w:val="00AA1E18"/>
    <w:rsid w:val="00AA2599"/>
    <w:rsid w:val="00AA3A72"/>
    <w:rsid w:val="00AA3D29"/>
    <w:rsid w:val="00AA3EF7"/>
    <w:rsid w:val="00AA4AFC"/>
    <w:rsid w:val="00AA4EF4"/>
    <w:rsid w:val="00AA5111"/>
    <w:rsid w:val="00AA5343"/>
    <w:rsid w:val="00AA57C4"/>
    <w:rsid w:val="00AA581C"/>
    <w:rsid w:val="00AA5D25"/>
    <w:rsid w:val="00AA603A"/>
    <w:rsid w:val="00AA6709"/>
    <w:rsid w:val="00AA6CCB"/>
    <w:rsid w:val="00AA7095"/>
    <w:rsid w:val="00AA71BF"/>
    <w:rsid w:val="00AA7366"/>
    <w:rsid w:val="00AB16EC"/>
    <w:rsid w:val="00AB1E73"/>
    <w:rsid w:val="00AB209C"/>
    <w:rsid w:val="00AB28A8"/>
    <w:rsid w:val="00AB355E"/>
    <w:rsid w:val="00AB3EDF"/>
    <w:rsid w:val="00AB4A36"/>
    <w:rsid w:val="00AB4C66"/>
    <w:rsid w:val="00AB7550"/>
    <w:rsid w:val="00AB75C6"/>
    <w:rsid w:val="00AB77EC"/>
    <w:rsid w:val="00AB7914"/>
    <w:rsid w:val="00AB7DEE"/>
    <w:rsid w:val="00AC0401"/>
    <w:rsid w:val="00AC09C9"/>
    <w:rsid w:val="00AC2490"/>
    <w:rsid w:val="00AC29C0"/>
    <w:rsid w:val="00AC35CD"/>
    <w:rsid w:val="00AC3B3D"/>
    <w:rsid w:val="00AC4887"/>
    <w:rsid w:val="00AC5A52"/>
    <w:rsid w:val="00AC6192"/>
    <w:rsid w:val="00AC748C"/>
    <w:rsid w:val="00AC74C3"/>
    <w:rsid w:val="00AC7F4B"/>
    <w:rsid w:val="00AD0E06"/>
    <w:rsid w:val="00AD1222"/>
    <w:rsid w:val="00AD27ED"/>
    <w:rsid w:val="00AD374D"/>
    <w:rsid w:val="00AD5A99"/>
    <w:rsid w:val="00AD5E9F"/>
    <w:rsid w:val="00AD6321"/>
    <w:rsid w:val="00AD6ADA"/>
    <w:rsid w:val="00AD70B4"/>
    <w:rsid w:val="00AD76CB"/>
    <w:rsid w:val="00AD7E72"/>
    <w:rsid w:val="00AE046A"/>
    <w:rsid w:val="00AE0693"/>
    <w:rsid w:val="00AE25D9"/>
    <w:rsid w:val="00AE276D"/>
    <w:rsid w:val="00AE2771"/>
    <w:rsid w:val="00AE312C"/>
    <w:rsid w:val="00AE35BB"/>
    <w:rsid w:val="00AE48FB"/>
    <w:rsid w:val="00AE493E"/>
    <w:rsid w:val="00AE57AE"/>
    <w:rsid w:val="00AE6571"/>
    <w:rsid w:val="00AE6619"/>
    <w:rsid w:val="00AE7116"/>
    <w:rsid w:val="00AE7400"/>
    <w:rsid w:val="00AE7D75"/>
    <w:rsid w:val="00AF04AF"/>
    <w:rsid w:val="00AF0BE8"/>
    <w:rsid w:val="00AF1531"/>
    <w:rsid w:val="00AF249B"/>
    <w:rsid w:val="00AF34F6"/>
    <w:rsid w:val="00AF3FD3"/>
    <w:rsid w:val="00AF406B"/>
    <w:rsid w:val="00AF41DE"/>
    <w:rsid w:val="00AF5168"/>
    <w:rsid w:val="00AF63AB"/>
    <w:rsid w:val="00AF6FE8"/>
    <w:rsid w:val="00B0020B"/>
    <w:rsid w:val="00B00673"/>
    <w:rsid w:val="00B00840"/>
    <w:rsid w:val="00B012AE"/>
    <w:rsid w:val="00B01620"/>
    <w:rsid w:val="00B0191E"/>
    <w:rsid w:val="00B02369"/>
    <w:rsid w:val="00B02EBA"/>
    <w:rsid w:val="00B03F5F"/>
    <w:rsid w:val="00B040BE"/>
    <w:rsid w:val="00B0497F"/>
    <w:rsid w:val="00B04B4E"/>
    <w:rsid w:val="00B04F24"/>
    <w:rsid w:val="00B0515F"/>
    <w:rsid w:val="00B06BA3"/>
    <w:rsid w:val="00B06F1E"/>
    <w:rsid w:val="00B079B0"/>
    <w:rsid w:val="00B07DAC"/>
    <w:rsid w:val="00B100E9"/>
    <w:rsid w:val="00B11EFF"/>
    <w:rsid w:val="00B12B3C"/>
    <w:rsid w:val="00B136FC"/>
    <w:rsid w:val="00B13F66"/>
    <w:rsid w:val="00B14811"/>
    <w:rsid w:val="00B15021"/>
    <w:rsid w:val="00B15338"/>
    <w:rsid w:val="00B15CA4"/>
    <w:rsid w:val="00B16A59"/>
    <w:rsid w:val="00B171CA"/>
    <w:rsid w:val="00B2035B"/>
    <w:rsid w:val="00B20A4F"/>
    <w:rsid w:val="00B21433"/>
    <w:rsid w:val="00B23647"/>
    <w:rsid w:val="00B23EA4"/>
    <w:rsid w:val="00B25A49"/>
    <w:rsid w:val="00B25F18"/>
    <w:rsid w:val="00B26585"/>
    <w:rsid w:val="00B266A9"/>
    <w:rsid w:val="00B26BD9"/>
    <w:rsid w:val="00B27B10"/>
    <w:rsid w:val="00B31558"/>
    <w:rsid w:val="00B31BAB"/>
    <w:rsid w:val="00B33E42"/>
    <w:rsid w:val="00B365A2"/>
    <w:rsid w:val="00B37738"/>
    <w:rsid w:val="00B40E81"/>
    <w:rsid w:val="00B4100C"/>
    <w:rsid w:val="00B412A1"/>
    <w:rsid w:val="00B4158C"/>
    <w:rsid w:val="00B41AA0"/>
    <w:rsid w:val="00B41DA9"/>
    <w:rsid w:val="00B4251C"/>
    <w:rsid w:val="00B43484"/>
    <w:rsid w:val="00B4451A"/>
    <w:rsid w:val="00B45232"/>
    <w:rsid w:val="00B453D9"/>
    <w:rsid w:val="00B453E7"/>
    <w:rsid w:val="00B453EE"/>
    <w:rsid w:val="00B468E0"/>
    <w:rsid w:val="00B46D96"/>
    <w:rsid w:val="00B46E31"/>
    <w:rsid w:val="00B46F88"/>
    <w:rsid w:val="00B47238"/>
    <w:rsid w:val="00B472CB"/>
    <w:rsid w:val="00B47341"/>
    <w:rsid w:val="00B4758B"/>
    <w:rsid w:val="00B50107"/>
    <w:rsid w:val="00B5084D"/>
    <w:rsid w:val="00B50DD3"/>
    <w:rsid w:val="00B52809"/>
    <w:rsid w:val="00B532C4"/>
    <w:rsid w:val="00B5375C"/>
    <w:rsid w:val="00B537ED"/>
    <w:rsid w:val="00B537EE"/>
    <w:rsid w:val="00B54AC6"/>
    <w:rsid w:val="00B54BDA"/>
    <w:rsid w:val="00B560E6"/>
    <w:rsid w:val="00B56393"/>
    <w:rsid w:val="00B56778"/>
    <w:rsid w:val="00B57208"/>
    <w:rsid w:val="00B573ED"/>
    <w:rsid w:val="00B57A0C"/>
    <w:rsid w:val="00B57AE2"/>
    <w:rsid w:val="00B60A41"/>
    <w:rsid w:val="00B60F6B"/>
    <w:rsid w:val="00B6216D"/>
    <w:rsid w:val="00B643E4"/>
    <w:rsid w:val="00B64730"/>
    <w:rsid w:val="00B64DFD"/>
    <w:rsid w:val="00B65A4F"/>
    <w:rsid w:val="00B65E9A"/>
    <w:rsid w:val="00B666EC"/>
    <w:rsid w:val="00B66874"/>
    <w:rsid w:val="00B66B97"/>
    <w:rsid w:val="00B66CAC"/>
    <w:rsid w:val="00B66D93"/>
    <w:rsid w:val="00B67096"/>
    <w:rsid w:val="00B67715"/>
    <w:rsid w:val="00B677FF"/>
    <w:rsid w:val="00B67E20"/>
    <w:rsid w:val="00B72394"/>
    <w:rsid w:val="00B72BDA"/>
    <w:rsid w:val="00B73DC1"/>
    <w:rsid w:val="00B741FD"/>
    <w:rsid w:val="00B74D9B"/>
    <w:rsid w:val="00B767D0"/>
    <w:rsid w:val="00B80010"/>
    <w:rsid w:val="00B80485"/>
    <w:rsid w:val="00B804C3"/>
    <w:rsid w:val="00B80827"/>
    <w:rsid w:val="00B80C95"/>
    <w:rsid w:val="00B81B3E"/>
    <w:rsid w:val="00B8356E"/>
    <w:rsid w:val="00B83879"/>
    <w:rsid w:val="00B84126"/>
    <w:rsid w:val="00B84842"/>
    <w:rsid w:val="00B84A61"/>
    <w:rsid w:val="00B84A68"/>
    <w:rsid w:val="00B85BD7"/>
    <w:rsid w:val="00B86040"/>
    <w:rsid w:val="00B86BCD"/>
    <w:rsid w:val="00B86DCE"/>
    <w:rsid w:val="00B86FF0"/>
    <w:rsid w:val="00B870CA"/>
    <w:rsid w:val="00B87791"/>
    <w:rsid w:val="00B877C5"/>
    <w:rsid w:val="00B87C36"/>
    <w:rsid w:val="00B87DC0"/>
    <w:rsid w:val="00B90005"/>
    <w:rsid w:val="00B90740"/>
    <w:rsid w:val="00B90A49"/>
    <w:rsid w:val="00B90E31"/>
    <w:rsid w:val="00B91CEF"/>
    <w:rsid w:val="00B92711"/>
    <w:rsid w:val="00B94DA2"/>
    <w:rsid w:val="00B94DCB"/>
    <w:rsid w:val="00B94E12"/>
    <w:rsid w:val="00B9658F"/>
    <w:rsid w:val="00B96ED8"/>
    <w:rsid w:val="00B9706C"/>
    <w:rsid w:val="00B9736F"/>
    <w:rsid w:val="00BA2072"/>
    <w:rsid w:val="00BA28A1"/>
    <w:rsid w:val="00BA28C4"/>
    <w:rsid w:val="00BA2C48"/>
    <w:rsid w:val="00BA3333"/>
    <w:rsid w:val="00BA3518"/>
    <w:rsid w:val="00BA37EF"/>
    <w:rsid w:val="00BA3A6A"/>
    <w:rsid w:val="00BA4608"/>
    <w:rsid w:val="00BA51B4"/>
    <w:rsid w:val="00BA52D7"/>
    <w:rsid w:val="00BA539A"/>
    <w:rsid w:val="00BA5CAC"/>
    <w:rsid w:val="00BA7976"/>
    <w:rsid w:val="00BA7CAF"/>
    <w:rsid w:val="00BB1546"/>
    <w:rsid w:val="00BB1915"/>
    <w:rsid w:val="00BB1A5C"/>
    <w:rsid w:val="00BB1B08"/>
    <w:rsid w:val="00BB1D51"/>
    <w:rsid w:val="00BB28CF"/>
    <w:rsid w:val="00BB2BDE"/>
    <w:rsid w:val="00BB39B8"/>
    <w:rsid w:val="00BB3F27"/>
    <w:rsid w:val="00BB4BF5"/>
    <w:rsid w:val="00BB4F39"/>
    <w:rsid w:val="00BB540F"/>
    <w:rsid w:val="00BB5E11"/>
    <w:rsid w:val="00BB5F20"/>
    <w:rsid w:val="00BB688A"/>
    <w:rsid w:val="00BB6B2E"/>
    <w:rsid w:val="00BB6EE7"/>
    <w:rsid w:val="00BB7E23"/>
    <w:rsid w:val="00BC0B22"/>
    <w:rsid w:val="00BC0E51"/>
    <w:rsid w:val="00BC0FED"/>
    <w:rsid w:val="00BC13B7"/>
    <w:rsid w:val="00BC13C1"/>
    <w:rsid w:val="00BC22CE"/>
    <w:rsid w:val="00BC2BB9"/>
    <w:rsid w:val="00BC3660"/>
    <w:rsid w:val="00BC36E2"/>
    <w:rsid w:val="00BC527C"/>
    <w:rsid w:val="00BC5680"/>
    <w:rsid w:val="00BC644A"/>
    <w:rsid w:val="00BC69E1"/>
    <w:rsid w:val="00BC6A8E"/>
    <w:rsid w:val="00BC6D26"/>
    <w:rsid w:val="00BC7433"/>
    <w:rsid w:val="00BC7706"/>
    <w:rsid w:val="00BD0F18"/>
    <w:rsid w:val="00BD10F7"/>
    <w:rsid w:val="00BD22EE"/>
    <w:rsid w:val="00BD249B"/>
    <w:rsid w:val="00BD285C"/>
    <w:rsid w:val="00BD38EC"/>
    <w:rsid w:val="00BD3C1C"/>
    <w:rsid w:val="00BD3DC0"/>
    <w:rsid w:val="00BD50C2"/>
    <w:rsid w:val="00BD5F95"/>
    <w:rsid w:val="00BD6368"/>
    <w:rsid w:val="00BD6711"/>
    <w:rsid w:val="00BD6814"/>
    <w:rsid w:val="00BD7C43"/>
    <w:rsid w:val="00BE02E4"/>
    <w:rsid w:val="00BE0BA4"/>
    <w:rsid w:val="00BE0FA4"/>
    <w:rsid w:val="00BE1335"/>
    <w:rsid w:val="00BE1390"/>
    <w:rsid w:val="00BE14C3"/>
    <w:rsid w:val="00BE2CCD"/>
    <w:rsid w:val="00BE2DE1"/>
    <w:rsid w:val="00BE336C"/>
    <w:rsid w:val="00BE4A21"/>
    <w:rsid w:val="00BE50FC"/>
    <w:rsid w:val="00BE546A"/>
    <w:rsid w:val="00BE6727"/>
    <w:rsid w:val="00BE7834"/>
    <w:rsid w:val="00BF13C8"/>
    <w:rsid w:val="00BF1512"/>
    <w:rsid w:val="00BF188D"/>
    <w:rsid w:val="00BF18F4"/>
    <w:rsid w:val="00BF1F0E"/>
    <w:rsid w:val="00BF25B1"/>
    <w:rsid w:val="00BF2A69"/>
    <w:rsid w:val="00BF2DAD"/>
    <w:rsid w:val="00BF3300"/>
    <w:rsid w:val="00BF3402"/>
    <w:rsid w:val="00BF3C68"/>
    <w:rsid w:val="00BF501F"/>
    <w:rsid w:val="00BF5618"/>
    <w:rsid w:val="00BF5FF6"/>
    <w:rsid w:val="00BF75C0"/>
    <w:rsid w:val="00C00033"/>
    <w:rsid w:val="00C0073F"/>
    <w:rsid w:val="00C01219"/>
    <w:rsid w:val="00C0137F"/>
    <w:rsid w:val="00C022CB"/>
    <w:rsid w:val="00C029D5"/>
    <w:rsid w:val="00C02A2B"/>
    <w:rsid w:val="00C03A4B"/>
    <w:rsid w:val="00C05523"/>
    <w:rsid w:val="00C0630F"/>
    <w:rsid w:val="00C06665"/>
    <w:rsid w:val="00C06A2C"/>
    <w:rsid w:val="00C06C2A"/>
    <w:rsid w:val="00C07975"/>
    <w:rsid w:val="00C07BB0"/>
    <w:rsid w:val="00C10539"/>
    <w:rsid w:val="00C105C1"/>
    <w:rsid w:val="00C109EB"/>
    <w:rsid w:val="00C11201"/>
    <w:rsid w:val="00C144E1"/>
    <w:rsid w:val="00C14E16"/>
    <w:rsid w:val="00C14F44"/>
    <w:rsid w:val="00C16754"/>
    <w:rsid w:val="00C16EB2"/>
    <w:rsid w:val="00C174E2"/>
    <w:rsid w:val="00C17C96"/>
    <w:rsid w:val="00C20D58"/>
    <w:rsid w:val="00C21016"/>
    <w:rsid w:val="00C2117C"/>
    <w:rsid w:val="00C2151E"/>
    <w:rsid w:val="00C21C8C"/>
    <w:rsid w:val="00C234A4"/>
    <w:rsid w:val="00C23C0E"/>
    <w:rsid w:val="00C23FA4"/>
    <w:rsid w:val="00C25B62"/>
    <w:rsid w:val="00C25FAD"/>
    <w:rsid w:val="00C272BA"/>
    <w:rsid w:val="00C2753F"/>
    <w:rsid w:val="00C27E2F"/>
    <w:rsid w:val="00C30AE9"/>
    <w:rsid w:val="00C30EFB"/>
    <w:rsid w:val="00C31409"/>
    <w:rsid w:val="00C316A7"/>
    <w:rsid w:val="00C31AFE"/>
    <w:rsid w:val="00C32032"/>
    <w:rsid w:val="00C32990"/>
    <w:rsid w:val="00C32F34"/>
    <w:rsid w:val="00C3309F"/>
    <w:rsid w:val="00C330A0"/>
    <w:rsid w:val="00C33B4E"/>
    <w:rsid w:val="00C34048"/>
    <w:rsid w:val="00C346D4"/>
    <w:rsid w:val="00C3643C"/>
    <w:rsid w:val="00C371AF"/>
    <w:rsid w:val="00C374D2"/>
    <w:rsid w:val="00C374E3"/>
    <w:rsid w:val="00C40926"/>
    <w:rsid w:val="00C41339"/>
    <w:rsid w:val="00C41680"/>
    <w:rsid w:val="00C416FB"/>
    <w:rsid w:val="00C42C99"/>
    <w:rsid w:val="00C43874"/>
    <w:rsid w:val="00C44321"/>
    <w:rsid w:val="00C4495B"/>
    <w:rsid w:val="00C449E6"/>
    <w:rsid w:val="00C44A3C"/>
    <w:rsid w:val="00C44AE2"/>
    <w:rsid w:val="00C44F10"/>
    <w:rsid w:val="00C4598F"/>
    <w:rsid w:val="00C45A46"/>
    <w:rsid w:val="00C45B29"/>
    <w:rsid w:val="00C45D0F"/>
    <w:rsid w:val="00C461A7"/>
    <w:rsid w:val="00C4623B"/>
    <w:rsid w:val="00C46581"/>
    <w:rsid w:val="00C46DD8"/>
    <w:rsid w:val="00C472A9"/>
    <w:rsid w:val="00C4796F"/>
    <w:rsid w:val="00C502DA"/>
    <w:rsid w:val="00C50713"/>
    <w:rsid w:val="00C50D55"/>
    <w:rsid w:val="00C51014"/>
    <w:rsid w:val="00C515E7"/>
    <w:rsid w:val="00C518E1"/>
    <w:rsid w:val="00C5206B"/>
    <w:rsid w:val="00C52818"/>
    <w:rsid w:val="00C52833"/>
    <w:rsid w:val="00C5285A"/>
    <w:rsid w:val="00C52AF7"/>
    <w:rsid w:val="00C536AE"/>
    <w:rsid w:val="00C53CE4"/>
    <w:rsid w:val="00C544F4"/>
    <w:rsid w:val="00C56749"/>
    <w:rsid w:val="00C56A38"/>
    <w:rsid w:val="00C56C98"/>
    <w:rsid w:val="00C5701B"/>
    <w:rsid w:val="00C57FE3"/>
    <w:rsid w:val="00C602F7"/>
    <w:rsid w:val="00C607A0"/>
    <w:rsid w:val="00C629D3"/>
    <w:rsid w:val="00C6304E"/>
    <w:rsid w:val="00C63CBD"/>
    <w:rsid w:val="00C63F8F"/>
    <w:rsid w:val="00C64FA8"/>
    <w:rsid w:val="00C651BF"/>
    <w:rsid w:val="00C65928"/>
    <w:rsid w:val="00C65E69"/>
    <w:rsid w:val="00C66198"/>
    <w:rsid w:val="00C66310"/>
    <w:rsid w:val="00C6642F"/>
    <w:rsid w:val="00C66B56"/>
    <w:rsid w:val="00C6776D"/>
    <w:rsid w:val="00C678B6"/>
    <w:rsid w:val="00C67B29"/>
    <w:rsid w:val="00C67CCF"/>
    <w:rsid w:val="00C67DED"/>
    <w:rsid w:val="00C70465"/>
    <w:rsid w:val="00C70762"/>
    <w:rsid w:val="00C70B3D"/>
    <w:rsid w:val="00C726D0"/>
    <w:rsid w:val="00C74315"/>
    <w:rsid w:val="00C761CF"/>
    <w:rsid w:val="00C76C54"/>
    <w:rsid w:val="00C77352"/>
    <w:rsid w:val="00C7793E"/>
    <w:rsid w:val="00C80CFF"/>
    <w:rsid w:val="00C8220A"/>
    <w:rsid w:val="00C833AB"/>
    <w:rsid w:val="00C83D9B"/>
    <w:rsid w:val="00C84001"/>
    <w:rsid w:val="00C84295"/>
    <w:rsid w:val="00C84A24"/>
    <w:rsid w:val="00C85349"/>
    <w:rsid w:val="00C8594A"/>
    <w:rsid w:val="00C86699"/>
    <w:rsid w:val="00C867A8"/>
    <w:rsid w:val="00C869B4"/>
    <w:rsid w:val="00C86B7D"/>
    <w:rsid w:val="00C875F0"/>
    <w:rsid w:val="00C879E3"/>
    <w:rsid w:val="00C87AAF"/>
    <w:rsid w:val="00C87B5E"/>
    <w:rsid w:val="00C87E39"/>
    <w:rsid w:val="00C9028A"/>
    <w:rsid w:val="00C91120"/>
    <w:rsid w:val="00C92D01"/>
    <w:rsid w:val="00C9377A"/>
    <w:rsid w:val="00C94031"/>
    <w:rsid w:val="00C94C87"/>
    <w:rsid w:val="00C95ADD"/>
    <w:rsid w:val="00C962EC"/>
    <w:rsid w:val="00C9719C"/>
    <w:rsid w:val="00C97777"/>
    <w:rsid w:val="00C9779F"/>
    <w:rsid w:val="00C97E33"/>
    <w:rsid w:val="00CA18BB"/>
    <w:rsid w:val="00CA1B90"/>
    <w:rsid w:val="00CA2A6B"/>
    <w:rsid w:val="00CA350A"/>
    <w:rsid w:val="00CA498F"/>
    <w:rsid w:val="00CA4BA5"/>
    <w:rsid w:val="00CA4D79"/>
    <w:rsid w:val="00CA4E79"/>
    <w:rsid w:val="00CA4F8F"/>
    <w:rsid w:val="00CA5417"/>
    <w:rsid w:val="00CA61C8"/>
    <w:rsid w:val="00CA67D4"/>
    <w:rsid w:val="00CA6954"/>
    <w:rsid w:val="00CB0872"/>
    <w:rsid w:val="00CB0962"/>
    <w:rsid w:val="00CB0DCD"/>
    <w:rsid w:val="00CB3242"/>
    <w:rsid w:val="00CB3466"/>
    <w:rsid w:val="00CB3CD3"/>
    <w:rsid w:val="00CB3D50"/>
    <w:rsid w:val="00CB4C03"/>
    <w:rsid w:val="00CB5B81"/>
    <w:rsid w:val="00CB5E05"/>
    <w:rsid w:val="00CB5ECF"/>
    <w:rsid w:val="00CB6156"/>
    <w:rsid w:val="00CB7659"/>
    <w:rsid w:val="00CB77CE"/>
    <w:rsid w:val="00CB78B1"/>
    <w:rsid w:val="00CC01E5"/>
    <w:rsid w:val="00CC02F2"/>
    <w:rsid w:val="00CC0ACC"/>
    <w:rsid w:val="00CC11A1"/>
    <w:rsid w:val="00CC1631"/>
    <w:rsid w:val="00CC2A63"/>
    <w:rsid w:val="00CC2C52"/>
    <w:rsid w:val="00CC3608"/>
    <w:rsid w:val="00CC3668"/>
    <w:rsid w:val="00CC36E5"/>
    <w:rsid w:val="00CC3EF1"/>
    <w:rsid w:val="00CC4064"/>
    <w:rsid w:val="00CC4D3B"/>
    <w:rsid w:val="00CC52AC"/>
    <w:rsid w:val="00CC5658"/>
    <w:rsid w:val="00CC57DC"/>
    <w:rsid w:val="00CC6BFA"/>
    <w:rsid w:val="00CC6F7A"/>
    <w:rsid w:val="00CC74C6"/>
    <w:rsid w:val="00CD0379"/>
    <w:rsid w:val="00CD0654"/>
    <w:rsid w:val="00CD08C4"/>
    <w:rsid w:val="00CD0FFE"/>
    <w:rsid w:val="00CD10C7"/>
    <w:rsid w:val="00CD14DD"/>
    <w:rsid w:val="00CD16AF"/>
    <w:rsid w:val="00CD1AA6"/>
    <w:rsid w:val="00CD2217"/>
    <w:rsid w:val="00CD27A2"/>
    <w:rsid w:val="00CD27FE"/>
    <w:rsid w:val="00CD2A85"/>
    <w:rsid w:val="00CD32E9"/>
    <w:rsid w:val="00CD38A2"/>
    <w:rsid w:val="00CD3D4C"/>
    <w:rsid w:val="00CD474B"/>
    <w:rsid w:val="00CD4844"/>
    <w:rsid w:val="00CD4968"/>
    <w:rsid w:val="00CD518C"/>
    <w:rsid w:val="00CD576C"/>
    <w:rsid w:val="00CD6174"/>
    <w:rsid w:val="00CD73F0"/>
    <w:rsid w:val="00CD745D"/>
    <w:rsid w:val="00CD77D5"/>
    <w:rsid w:val="00CE0008"/>
    <w:rsid w:val="00CE11DA"/>
    <w:rsid w:val="00CE138E"/>
    <w:rsid w:val="00CE16FE"/>
    <w:rsid w:val="00CE2F90"/>
    <w:rsid w:val="00CE3B39"/>
    <w:rsid w:val="00CE3DEC"/>
    <w:rsid w:val="00CE4004"/>
    <w:rsid w:val="00CE42B9"/>
    <w:rsid w:val="00CE5665"/>
    <w:rsid w:val="00CE5D27"/>
    <w:rsid w:val="00CE6165"/>
    <w:rsid w:val="00CE61A2"/>
    <w:rsid w:val="00CE6F57"/>
    <w:rsid w:val="00CE7174"/>
    <w:rsid w:val="00CF06AF"/>
    <w:rsid w:val="00CF0A7A"/>
    <w:rsid w:val="00CF1234"/>
    <w:rsid w:val="00CF14FC"/>
    <w:rsid w:val="00CF1C27"/>
    <w:rsid w:val="00CF1CA8"/>
    <w:rsid w:val="00CF3240"/>
    <w:rsid w:val="00CF3A94"/>
    <w:rsid w:val="00CF4970"/>
    <w:rsid w:val="00CF4A5F"/>
    <w:rsid w:val="00CF4BAD"/>
    <w:rsid w:val="00CF4D6E"/>
    <w:rsid w:val="00CF4F3E"/>
    <w:rsid w:val="00CF67CC"/>
    <w:rsid w:val="00CF73F8"/>
    <w:rsid w:val="00CF7423"/>
    <w:rsid w:val="00CF74EB"/>
    <w:rsid w:val="00CF7CCE"/>
    <w:rsid w:val="00CF7D82"/>
    <w:rsid w:val="00D004D9"/>
    <w:rsid w:val="00D01A6A"/>
    <w:rsid w:val="00D03190"/>
    <w:rsid w:val="00D036AE"/>
    <w:rsid w:val="00D039E6"/>
    <w:rsid w:val="00D0450B"/>
    <w:rsid w:val="00D04F38"/>
    <w:rsid w:val="00D05BC4"/>
    <w:rsid w:val="00D05D92"/>
    <w:rsid w:val="00D0632F"/>
    <w:rsid w:val="00D065AC"/>
    <w:rsid w:val="00D068BB"/>
    <w:rsid w:val="00D06FB2"/>
    <w:rsid w:val="00D072AA"/>
    <w:rsid w:val="00D10C30"/>
    <w:rsid w:val="00D10FD3"/>
    <w:rsid w:val="00D110A2"/>
    <w:rsid w:val="00D11611"/>
    <w:rsid w:val="00D11BE9"/>
    <w:rsid w:val="00D11E2C"/>
    <w:rsid w:val="00D12961"/>
    <w:rsid w:val="00D14712"/>
    <w:rsid w:val="00D14872"/>
    <w:rsid w:val="00D1490A"/>
    <w:rsid w:val="00D1494C"/>
    <w:rsid w:val="00D14B63"/>
    <w:rsid w:val="00D14D9C"/>
    <w:rsid w:val="00D14FB6"/>
    <w:rsid w:val="00D171DF"/>
    <w:rsid w:val="00D20195"/>
    <w:rsid w:val="00D216F4"/>
    <w:rsid w:val="00D22129"/>
    <w:rsid w:val="00D22A6F"/>
    <w:rsid w:val="00D230D9"/>
    <w:rsid w:val="00D23154"/>
    <w:rsid w:val="00D234FE"/>
    <w:rsid w:val="00D237D0"/>
    <w:rsid w:val="00D23832"/>
    <w:rsid w:val="00D24CFA"/>
    <w:rsid w:val="00D25901"/>
    <w:rsid w:val="00D25D34"/>
    <w:rsid w:val="00D26EF7"/>
    <w:rsid w:val="00D30BC3"/>
    <w:rsid w:val="00D31A62"/>
    <w:rsid w:val="00D32A4B"/>
    <w:rsid w:val="00D32E00"/>
    <w:rsid w:val="00D3390C"/>
    <w:rsid w:val="00D33B58"/>
    <w:rsid w:val="00D33BF3"/>
    <w:rsid w:val="00D33F57"/>
    <w:rsid w:val="00D3448B"/>
    <w:rsid w:val="00D34F2F"/>
    <w:rsid w:val="00D354BB"/>
    <w:rsid w:val="00D35633"/>
    <w:rsid w:val="00D3685F"/>
    <w:rsid w:val="00D36976"/>
    <w:rsid w:val="00D369E2"/>
    <w:rsid w:val="00D3703E"/>
    <w:rsid w:val="00D37AF0"/>
    <w:rsid w:val="00D37EF8"/>
    <w:rsid w:val="00D40D68"/>
    <w:rsid w:val="00D420E6"/>
    <w:rsid w:val="00D422AF"/>
    <w:rsid w:val="00D42429"/>
    <w:rsid w:val="00D42469"/>
    <w:rsid w:val="00D42C3C"/>
    <w:rsid w:val="00D42F2D"/>
    <w:rsid w:val="00D454EB"/>
    <w:rsid w:val="00D45B3A"/>
    <w:rsid w:val="00D45DE9"/>
    <w:rsid w:val="00D45F61"/>
    <w:rsid w:val="00D4711E"/>
    <w:rsid w:val="00D472CC"/>
    <w:rsid w:val="00D472CE"/>
    <w:rsid w:val="00D504AD"/>
    <w:rsid w:val="00D50ED4"/>
    <w:rsid w:val="00D5121C"/>
    <w:rsid w:val="00D518AC"/>
    <w:rsid w:val="00D52A17"/>
    <w:rsid w:val="00D53622"/>
    <w:rsid w:val="00D540EC"/>
    <w:rsid w:val="00D55C9A"/>
    <w:rsid w:val="00D55F02"/>
    <w:rsid w:val="00D5627F"/>
    <w:rsid w:val="00D5682A"/>
    <w:rsid w:val="00D56930"/>
    <w:rsid w:val="00D56F63"/>
    <w:rsid w:val="00D60853"/>
    <w:rsid w:val="00D60921"/>
    <w:rsid w:val="00D612B2"/>
    <w:rsid w:val="00D6213D"/>
    <w:rsid w:val="00D621E0"/>
    <w:rsid w:val="00D626F6"/>
    <w:rsid w:val="00D62E5B"/>
    <w:rsid w:val="00D6384C"/>
    <w:rsid w:val="00D63D92"/>
    <w:rsid w:val="00D63FD3"/>
    <w:rsid w:val="00D64BC7"/>
    <w:rsid w:val="00D654F7"/>
    <w:rsid w:val="00D6646B"/>
    <w:rsid w:val="00D66DCF"/>
    <w:rsid w:val="00D67229"/>
    <w:rsid w:val="00D67D06"/>
    <w:rsid w:val="00D70A2D"/>
    <w:rsid w:val="00D7131D"/>
    <w:rsid w:val="00D71643"/>
    <w:rsid w:val="00D71818"/>
    <w:rsid w:val="00D72213"/>
    <w:rsid w:val="00D723A2"/>
    <w:rsid w:val="00D731F2"/>
    <w:rsid w:val="00D732A5"/>
    <w:rsid w:val="00D73502"/>
    <w:rsid w:val="00D736CB"/>
    <w:rsid w:val="00D73B7E"/>
    <w:rsid w:val="00D7403E"/>
    <w:rsid w:val="00D740EA"/>
    <w:rsid w:val="00D7426C"/>
    <w:rsid w:val="00D7441D"/>
    <w:rsid w:val="00D74C5C"/>
    <w:rsid w:val="00D75935"/>
    <w:rsid w:val="00D75C54"/>
    <w:rsid w:val="00D75D75"/>
    <w:rsid w:val="00D766C7"/>
    <w:rsid w:val="00D76DD1"/>
    <w:rsid w:val="00D77935"/>
    <w:rsid w:val="00D77E28"/>
    <w:rsid w:val="00D80805"/>
    <w:rsid w:val="00D80C43"/>
    <w:rsid w:val="00D81177"/>
    <w:rsid w:val="00D81327"/>
    <w:rsid w:val="00D81A4F"/>
    <w:rsid w:val="00D81E59"/>
    <w:rsid w:val="00D8256F"/>
    <w:rsid w:val="00D82717"/>
    <w:rsid w:val="00D831F5"/>
    <w:rsid w:val="00D848FB"/>
    <w:rsid w:val="00D8507F"/>
    <w:rsid w:val="00D85986"/>
    <w:rsid w:val="00D87E1F"/>
    <w:rsid w:val="00D900D4"/>
    <w:rsid w:val="00D92DAE"/>
    <w:rsid w:val="00D93BFE"/>
    <w:rsid w:val="00D9469C"/>
    <w:rsid w:val="00D94C00"/>
    <w:rsid w:val="00D9539E"/>
    <w:rsid w:val="00D968D7"/>
    <w:rsid w:val="00D972EC"/>
    <w:rsid w:val="00D97A1E"/>
    <w:rsid w:val="00D97F80"/>
    <w:rsid w:val="00DA02A7"/>
    <w:rsid w:val="00DA0450"/>
    <w:rsid w:val="00DA060E"/>
    <w:rsid w:val="00DA06FD"/>
    <w:rsid w:val="00DA0845"/>
    <w:rsid w:val="00DA1784"/>
    <w:rsid w:val="00DA1BF3"/>
    <w:rsid w:val="00DA25AE"/>
    <w:rsid w:val="00DA2686"/>
    <w:rsid w:val="00DA2E20"/>
    <w:rsid w:val="00DA37C6"/>
    <w:rsid w:val="00DA3D97"/>
    <w:rsid w:val="00DA422D"/>
    <w:rsid w:val="00DA4B71"/>
    <w:rsid w:val="00DA4B73"/>
    <w:rsid w:val="00DA4EF3"/>
    <w:rsid w:val="00DA5056"/>
    <w:rsid w:val="00DA57E1"/>
    <w:rsid w:val="00DA6853"/>
    <w:rsid w:val="00DA6E4E"/>
    <w:rsid w:val="00DA6FE9"/>
    <w:rsid w:val="00DA7056"/>
    <w:rsid w:val="00DA7B06"/>
    <w:rsid w:val="00DB0205"/>
    <w:rsid w:val="00DB04F9"/>
    <w:rsid w:val="00DB105A"/>
    <w:rsid w:val="00DB107B"/>
    <w:rsid w:val="00DB1C36"/>
    <w:rsid w:val="00DB20DC"/>
    <w:rsid w:val="00DB2806"/>
    <w:rsid w:val="00DB492F"/>
    <w:rsid w:val="00DB4A63"/>
    <w:rsid w:val="00DB4E96"/>
    <w:rsid w:val="00DB55A2"/>
    <w:rsid w:val="00DB5CE6"/>
    <w:rsid w:val="00DB5EE5"/>
    <w:rsid w:val="00DB65C2"/>
    <w:rsid w:val="00DB681C"/>
    <w:rsid w:val="00DB70BE"/>
    <w:rsid w:val="00DB7C18"/>
    <w:rsid w:val="00DC015C"/>
    <w:rsid w:val="00DC0F4C"/>
    <w:rsid w:val="00DC1393"/>
    <w:rsid w:val="00DC1A4B"/>
    <w:rsid w:val="00DC1DF6"/>
    <w:rsid w:val="00DC2902"/>
    <w:rsid w:val="00DC3038"/>
    <w:rsid w:val="00DC3410"/>
    <w:rsid w:val="00DC37E5"/>
    <w:rsid w:val="00DC3C34"/>
    <w:rsid w:val="00DC448B"/>
    <w:rsid w:val="00DC480A"/>
    <w:rsid w:val="00DC5454"/>
    <w:rsid w:val="00DC5B60"/>
    <w:rsid w:val="00DC5F05"/>
    <w:rsid w:val="00DC65C7"/>
    <w:rsid w:val="00DC693B"/>
    <w:rsid w:val="00DD0441"/>
    <w:rsid w:val="00DD17A1"/>
    <w:rsid w:val="00DD1897"/>
    <w:rsid w:val="00DD29CB"/>
    <w:rsid w:val="00DD3B19"/>
    <w:rsid w:val="00DD4354"/>
    <w:rsid w:val="00DD50CF"/>
    <w:rsid w:val="00DD5249"/>
    <w:rsid w:val="00DD5E88"/>
    <w:rsid w:val="00DE01E2"/>
    <w:rsid w:val="00DE04D0"/>
    <w:rsid w:val="00DE0B75"/>
    <w:rsid w:val="00DE0D1C"/>
    <w:rsid w:val="00DE1684"/>
    <w:rsid w:val="00DE1914"/>
    <w:rsid w:val="00DE2040"/>
    <w:rsid w:val="00DE2871"/>
    <w:rsid w:val="00DE29B6"/>
    <w:rsid w:val="00DE2A19"/>
    <w:rsid w:val="00DE33F7"/>
    <w:rsid w:val="00DE38B3"/>
    <w:rsid w:val="00DE3F18"/>
    <w:rsid w:val="00DE5E53"/>
    <w:rsid w:val="00DE610F"/>
    <w:rsid w:val="00DE703D"/>
    <w:rsid w:val="00DE7151"/>
    <w:rsid w:val="00DE74AD"/>
    <w:rsid w:val="00DF0408"/>
    <w:rsid w:val="00DF1996"/>
    <w:rsid w:val="00DF233B"/>
    <w:rsid w:val="00DF2D05"/>
    <w:rsid w:val="00DF368E"/>
    <w:rsid w:val="00DF382D"/>
    <w:rsid w:val="00DF450E"/>
    <w:rsid w:val="00DF463D"/>
    <w:rsid w:val="00DF4AF7"/>
    <w:rsid w:val="00DF4D70"/>
    <w:rsid w:val="00DF53C1"/>
    <w:rsid w:val="00DF65E8"/>
    <w:rsid w:val="00DF6649"/>
    <w:rsid w:val="00DF668C"/>
    <w:rsid w:val="00DF7EB9"/>
    <w:rsid w:val="00E003EA"/>
    <w:rsid w:val="00E006A8"/>
    <w:rsid w:val="00E00C9A"/>
    <w:rsid w:val="00E01CDB"/>
    <w:rsid w:val="00E02A25"/>
    <w:rsid w:val="00E03C16"/>
    <w:rsid w:val="00E03E1F"/>
    <w:rsid w:val="00E03FCA"/>
    <w:rsid w:val="00E04A30"/>
    <w:rsid w:val="00E0546C"/>
    <w:rsid w:val="00E057AB"/>
    <w:rsid w:val="00E05F83"/>
    <w:rsid w:val="00E06A3D"/>
    <w:rsid w:val="00E10263"/>
    <w:rsid w:val="00E11C33"/>
    <w:rsid w:val="00E12C86"/>
    <w:rsid w:val="00E12D0C"/>
    <w:rsid w:val="00E13375"/>
    <w:rsid w:val="00E13441"/>
    <w:rsid w:val="00E13D54"/>
    <w:rsid w:val="00E13D79"/>
    <w:rsid w:val="00E13FBD"/>
    <w:rsid w:val="00E1408B"/>
    <w:rsid w:val="00E140AD"/>
    <w:rsid w:val="00E14A17"/>
    <w:rsid w:val="00E14B03"/>
    <w:rsid w:val="00E14CA3"/>
    <w:rsid w:val="00E150FA"/>
    <w:rsid w:val="00E152D4"/>
    <w:rsid w:val="00E15B4C"/>
    <w:rsid w:val="00E1669A"/>
    <w:rsid w:val="00E17647"/>
    <w:rsid w:val="00E202F8"/>
    <w:rsid w:val="00E20590"/>
    <w:rsid w:val="00E2070F"/>
    <w:rsid w:val="00E21D70"/>
    <w:rsid w:val="00E22BC8"/>
    <w:rsid w:val="00E22ED8"/>
    <w:rsid w:val="00E23179"/>
    <w:rsid w:val="00E2334D"/>
    <w:rsid w:val="00E23DA3"/>
    <w:rsid w:val="00E24E5F"/>
    <w:rsid w:val="00E25488"/>
    <w:rsid w:val="00E25AC4"/>
    <w:rsid w:val="00E25DE3"/>
    <w:rsid w:val="00E26071"/>
    <w:rsid w:val="00E26D57"/>
    <w:rsid w:val="00E271B9"/>
    <w:rsid w:val="00E27321"/>
    <w:rsid w:val="00E32086"/>
    <w:rsid w:val="00E324E2"/>
    <w:rsid w:val="00E3266E"/>
    <w:rsid w:val="00E337E0"/>
    <w:rsid w:val="00E33BDE"/>
    <w:rsid w:val="00E3424A"/>
    <w:rsid w:val="00E345D0"/>
    <w:rsid w:val="00E349E9"/>
    <w:rsid w:val="00E34C8A"/>
    <w:rsid w:val="00E356CD"/>
    <w:rsid w:val="00E35975"/>
    <w:rsid w:val="00E3607D"/>
    <w:rsid w:val="00E365A8"/>
    <w:rsid w:val="00E37B8F"/>
    <w:rsid w:val="00E40BC1"/>
    <w:rsid w:val="00E40F62"/>
    <w:rsid w:val="00E40FA8"/>
    <w:rsid w:val="00E41339"/>
    <w:rsid w:val="00E433CA"/>
    <w:rsid w:val="00E43458"/>
    <w:rsid w:val="00E4379D"/>
    <w:rsid w:val="00E4401D"/>
    <w:rsid w:val="00E441C0"/>
    <w:rsid w:val="00E45209"/>
    <w:rsid w:val="00E452FD"/>
    <w:rsid w:val="00E45536"/>
    <w:rsid w:val="00E46B8C"/>
    <w:rsid w:val="00E46E10"/>
    <w:rsid w:val="00E470E4"/>
    <w:rsid w:val="00E4714F"/>
    <w:rsid w:val="00E473F1"/>
    <w:rsid w:val="00E477B6"/>
    <w:rsid w:val="00E510FF"/>
    <w:rsid w:val="00E53E24"/>
    <w:rsid w:val="00E5455A"/>
    <w:rsid w:val="00E548B7"/>
    <w:rsid w:val="00E556D9"/>
    <w:rsid w:val="00E5580C"/>
    <w:rsid w:val="00E55E70"/>
    <w:rsid w:val="00E57F7B"/>
    <w:rsid w:val="00E60C6A"/>
    <w:rsid w:val="00E60F5C"/>
    <w:rsid w:val="00E60F76"/>
    <w:rsid w:val="00E62036"/>
    <w:rsid w:val="00E622AD"/>
    <w:rsid w:val="00E624A6"/>
    <w:rsid w:val="00E62A14"/>
    <w:rsid w:val="00E62B25"/>
    <w:rsid w:val="00E62FE5"/>
    <w:rsid w:val="00E631ED"/>
    <w:rsid w:val="00E63BE3"/>
    <w:rsid w:val="00E63F9F"/>
    <w:rsid w:val="00E64634"/>
    <w:rsid w:val="00E64824"/>
    <w:rsid w:val="00E64D0D"/>
    <w:rsid w:val="00E652B6"/>
    <w:rsid w:val="00E65B6B"/>
    <w:rsid w:val="00E65C89"/>
    <w:rsid w:val="00E65EE3"/>
    <w:rsid w:val="00E6613C"/>
    <w:rsid w:val="00E66F31"/>
    <w:rsid w:val="00E70CC0"/>
    <w:rsid w:val="00E711F7"/>
    <w:rsid w:val="00E7149E"/>
    <w:rsid w:val="00E71907"/>
    <w:rsid w:val="00E727DD"/>
    <w:rsid w:val="00E736E5"/>
    <w:rsid w:val="00E73F54"/>
    <w:rsid w:val="00E74166"/>
    <w:rsid w:val="00E74C85"/>
    <w:rsid w:val="00E7529A"/>
    <w:rsid w:val="00E757BD"/>
    <w:rsid w:val="00E75984"/>
    <w:rsid w:val="00E759C1"/>
    <w:rsid w:val="00E75D81"/>
    <w:rsid w:val="00E75ECD"/>
    <w:rsid w:val="00E75F1B"/>
    <w:rsid w:val="00E762A5"/>
    <w:rsid w:val="00E77404"/>
    <w:rsid w:val="00E77DAA"/>
    <w:rsid w:val="00E77FAF"/>
    <w:rsid w:val="00E80E23"/>
    <w:rsid w:val="00E8125F"/>
    <w:rsid w:val="00E817BA"/>
    <w:rsid w:val="00E82565"/>
    <w:rsid w:val="00E83224"/>
    <w:rsid w:val="00E8356B"/>
    <w:rsid w:val="00E843E8"/>
    <w:rsid w:val="00E85F50"/>
    <w:rsid w:val="00E86502"/>
    <w:rsid w:val="00E8700E"/>
    <w:rsid w:val="00E8710E"/>
    <w:rsid w:val="00E87365"/>
    <w:rsid w:val="00E8746C"/>
    <w:rsid w:val="00E90916"/>
    <w:rsid w:val="00E915DE"/>
    <w:rsid w:val="00E91D9F"/>
    <w:rsid w:val="00E91F3A"/>
    <w:rsid w:val="00E92091"/>
    <w:rsid w:val="00E925F2"/>
    <w:rsid w:val="00E92E05"/>
    <w:rsid w:val="00E9376B"/>
    <w:rsid w:val="00E95085"/>
    <w:rsid w:val="00E95BC8"/>
    <w:rsid w:val="00E96F39"/>
    <w:rsid w:val="00E977D5"/>
    <w:rsid w:val="00EA052B"/>
    <w:rsid w:val="00EA0565"/>
    <w:rsid w:val="00EA0D17"/>
    <w:rsid w:val="00EA112A"/>
    <w:rsid w:val="00EA23A7"/>
    <w:rsid w:val="00EA27C6"/>
    <w:rsid w:val="00EA2F3D"/>
    <w:rsid w:val="00EA4321"/>
    <w:rsid w:val="00EA5065"/>
    <w:rsid w:val="00EA506D"/>
    <w:rsid w:val="00EA515A"/>
    <w:rsid w:val="00EA528E"/>
    <w:rsid w:val="00EA5B23"/>
    <w:rsid w:val="00EA7860"/>
    <w:rsid w:val="00EA7909"/>
    <w:rsid w:val="00EB00C4"/>
    <w:rsid w:val="00EB0148"/>
    <w:rsid w:val="00EB01A0"/>
    <w:rsid w:val="00EB03DB"/>
    <w:rsid w:val="00EB09C6"/>
    <w:rsid w:val="00EB0B27"/>
    <w:rsid w:val="00EB0C0C"/>
    <w:rsid w:val="00EB0EDA"/>
    <w:rsid w:val="00EB133D"/>
    <w:rsid w:val="00EB14E3"/>
    <w:rsid w:val="00EB1770"/>
    <w:rsid w:val="00EB20B4"/>
    <w:rsid w:val="00EB27D6"/>
    <w:rsid w:val="00EB2F3A"/>
    <w:rsid w:val="00EB3D10"/>
    <w:rsid w:val="00EB4C77"/>
    <w:rsid w:val="00EB4ED7"/>
    <w:rsid w:val="00EB5195"/>
    <w:rsid w:val="00EB59DF"/>
    <w:rsid w:val="00EB600F"/>
    <w:rsid w:val="00EB6C6A"/>
    <w:rsid w:val="00EB7D68"/>
    <w:rsid w:val="00EB7E96"/>
    <w:rsid w:val="00EC03D0"/>
    <w:rsid w:val="00EC4D62"/>
    <w:rsid w:val="00EC5398"/>
    <w:rsid w:val="00EC543C"/>
    <w:rsid w:val="00EC5CDB"/>
    <w:rsid w:val="00EC603A"/>
    <w:rsid w:val="00EC62E0"/>
    <w:rsid w:val="00EC6AE7"/>
    <w:rsid w:val="00EC6D37"/>
    <w:rsid w:val="00EC7009"/>
    <w:rsid w:val="00EC718B"/>
    <w:rsid w:val="00EC7297"/>
    <w:rsid w:val="00ED0294"/>
    <w:rsid w:val="00ED0369"/>
    <w:rsid w:val="00ED0DA3"/>
    <w:rsid w:val="00ED2CF8"/>
    <w:rsid w:val="00ED33C4"/>
    <w:rsid w:val="00ED3C35"/>
    <w:rsid w:val="00ED41CB"/>
    <w:rsid w:val="00ED497B"/>
    <w:rsid w:val="00ED4A09"/>
    <w:rsid w:val="00ED4FE4"/>
    <w:rsid w:val="00ED5029"/>
    <w:rsid w:val="00ED5244"/>
    <w:rsid w:val="00ED5A70"/>
    <w:rsid w:val="00ED5B38"/>
    <w:rsid w:val="00ED5EC0"/>
    <w:rsid w:val="00ED5FD6"/>
    <w:rsid w:val="00ED6402"/>
    <w:rsid w:val="00ED658C"/>
    <w:rsid w:val="00ED6702"/>
    <w:rsid w:val="00ED6A24"/>
    <w:rsid w:val="00EE0232"/>
    <w:rsid w:val="00EE065E"/>
    <w:rsid w:val="00EE0F54"/>
    <w:rsid w:val="00EE1183"/>
    <w:rsid w:val="00EE15FF"/>
    <w:rsid w:val="00EE1874"/>
    <w:rsid w:val="00EE22B2"/>
    <w:rsid w:val="00EE30A9"/>
    <w:rsid w:val="00EE350D"/>
    <w:rsid w:val="00EE46A9"/>
    <w:rsid w:val="00EE490E"/>
    <w:rsid w:val="00EE4EEC"/>
    <w:rsid w:val="00EE5E7B"/>
    <w:rsid w:val="00EE5F96"/>
    <w:rsid w:val="00EE6893"/>
    <w:rsid w:val="00EE6F9C"/>
    <w:rsid w:val="00EE77A7"/>
    <w:rsid w:val="00EF01E2"/>
    <w:rsid w:val="00EF1F6A"/>
    <w:rsid w:val="00EF2A8C"/>
    <w:rsid w:val="00EF3516"/>
    <w:rsid w:val="00EF3F75"/>
    <w:rsid w:val="00EF48DB"/>
    <w:rsid w:val="00EF50DA"/>
    <w:rsid w:val="00EF523C"/>
    <w:rsid w:val="00EF535D"/>
    <w:rsid w:val="00EF556D"/>
    <w:rsid w:val="00EF6059"/>
    <w:rsid w:val="00EF6066"/>
    <w:rsid w:val="00EF69EA"/>
    <w:rsid w:val="00EF73DA"/>
    <w:rsid w:val="00EF7695"/>
    <w:rsid w:val="00EF7F76"/>
    <w:rsid w:val="00F009EB"/>
    <w:rsid w:val="00F00F52"/>
    <w:rsid w:val="00F01A47"/>
    <w:rsid w:val="00F01F16"/>
    <w:rsid w:val="00F020A1"/>
    <w:rsid w:val="00F025DE"/>
    <w:rsid w:val="00F0309E"/>
    <w:rsid w:val="00F033FE"/>
    <w:rsid w:val="00F038D8"/>
    <w:rsid w:val="00F03A52"/>
    <w:rsid w:val="00F04082"/>
    <w:rsid w:val="00F04344"/>
    <w:rsid w:val="00F04D75"/>
    <w:rsid w:val="00F04F12"/>
    <w:rsid w:val="00F0597A"/>
    <w:rsid w:val="00F05C4E"/>
    <w:rsid w:val="00F07246"/>
    <w:rsid w:val="00F075B1"/>
    <w:rsid w:val="00F10394"/>
    <w:rsid w:val="00F1046B"/>
    <w:rsid w:val="00F10475"/>
    <w:rsid w:val="00F10BD2"/>
    <w:rsid w:val="00F10F28"/>
    <w:rsid w:val="00F11825"/>
    <w:rsid w:val="00F11AEE"/>
    <w:rsid w:val="00F11FDC"/>
    <w:rsid w:val="00F126EB"/>
    <w:rsid w:val="00F12E55"/>
    <w:rsid w:val="00F12FD9"/>
    <w:rsid w:val="00F13157"/>
    <w:rsid w:val="00F144E1"/>
    <w:rsid w:val="00F16456"/>
    <w:rsid w:val="00F16CAD"/>
    <w:rsid w:val="00F16E8D"/>
    <w:rsid w:val="00F1776A"/>
    <w:rsid w:val="00F178BC"/>
    <w:rsid w:val="00F179DA"/>
    <w:rsid w:val="00F2059A"/>
    <w:rsid w:val="00F209A2"/>
    <w:rsid w:val="00F21B83"/>
    <w:rsid w:val="00F2247E"/>
    <w:rsid w:val="00F224F9"/>
    <w:rsid w:val="00F23D68"/>
    <w:rsid w:val="00F24285"/>
    <w:rsid w:val="00F2515A"/>
    <w:rsid w:val="00F25915"/>
    <w:rsid w:val="00F25990"/>
    <w:rsid w:val="00F25DBD"/>
    <w:rsid w:val="00F26423"/>
    <w:rsid w:val="00F268F5"/>
    <w:rsid w:val="00F26AA1"/>
    <w:rsid w:val="00F26D3E"/>
    <w:rsid w:val="00F26F77"/>
    <w:rsid w:val="00F26FEE"/>
    <w:rsid w:val="00F27A42"/>
    <w:rsid w:val="00F27B57"/>
    <w:rsid w:val="00F27C81"/>
    <w:rsid w:val="00F27F18"/>
    <w:rsid w:val="00F30F94"/>
    <w:rsid w:val="00F32678"/>
    <w:rsid w:val="00F33420"/>
    <w:rsid w:val="00F33E30"/>
    <w:rsid w:val="00F34C65"/>
    <w:rsid w:val="00F34E4A"/>
    <w:rsid w:val="00F3548F"/>
    <w:rsid w:val="00F35805"/>
    <w:rsid w:val="00F35E4A"/>
    <w:rsid w:val="00F36346"/>
    <w:rsid w:val="00F364BE"/>
    <w:rsid w:val="00F377C1"/>
    <w:rsid w:val="00F37DE4"/>
    <w:rsid w:val="00F404C4"/>
    <w:rsid w:val="00F40618"/>
    <w:rsid w:val="00F40631"/>
    <w:rsid w:val="00F4130A"/>
    <w:rsid w:val="00F4215B"/>
    <w:rsid w:val="00F42180"/>
    <w:rsid w:val="00F42183"/>
    <w:rsid w:val="00F42D68"/>
    <w:rsid w:val="00F433F3"/>
    <w:rsid w:val="00F43997"/>
    <w:rsid w:val="00F439FA"/>
    <w:rsid w:val="00F44748"/>
    <w:rsid w:val="00F44F2F"/>
    <w:rsid w:val="00F4500E"/>
    <w:rsid w:val="00F45B36"/>
    <w:rsid w:val="00F4635B"/>
    <w:rsid w:val="00F46807"/>
    <w:rsid w:val="00F477D6"/>
    <w:rsid w:val="00F477EB"/>
    <w:rsid w:val="00F500E8"/>
    <w:rsid w:val="00F50A42"/>
    <w:rsid w:val="00F51000"/>
    <w:rsid w:val="00F51840"/>
    <w:rsid w:val="00F51F65"/>
    <w:rsid w:val="00F52E18"/>
    <w:rsid w:val="00F52ED9"/>
    <w:rsid w:val="00F530E4"/>
    <w:rsid w:val="00F5337A"/>
    <w:rsid w:val="00F54026"/>
    <w:rsid w:val="00F54247"/>
    <w:rsid w:val="00F54F66"/>
    <w:rsid w:val="00F55964"/>
    <w:rsid w:val="00F566E6"/>
    <w:rsid w:val="00F568CE"/>
    <w:rsid w:val="00F5709D"/>
    <w:rsid w:val="00F617D3"/>
    <w:rsid w:val="00F61C29"/>
    <w:rsid w:val="00F61ED3"/>
    <w:rsid w:val="00F62CBE"/>
    <w:rsid w:val="00F63682"/>
    <w:rsid w:val="00F63915"/>
    <w:rsid w:val="00F6395D"/>
    <w:rsid w:val="00F63E81"/>
    <w:rsid w:val="00F657CD"/>
    <w:rsid w:val="00F66030"/>
    <w:rsid w:val="00F669A0"/>
    <w:rsid w:val="00F67CC7"/>
    <w:rsid w:val="00F721BE"/>
    <w:rsid w:val="00F725E7"/>
    <w:rsid w:val="00F74404"/>
    <w:rsid w:val="00F74779"/>
    <w:rsid w:val="00F75703"/>
    <w:rsid w:val="00F7655B"/>
    <w:rsid w:val="00F772FC"/>
    <w:rsid w:val="00F77827"/>
    <w:rsid w:val="00F81938"/>
    <w:rsid w:val="00F81DEA"/>
    <w:rsid w:val="00F82135"/>
    <w:rsid w:val="00F83C6F"/>
    <w:rsid w:val="00F84045"/>
    <w:rsid w:val="00F84177"/>
    <w:rsid w:val="00F84BC8"/>
    <w:rsid w:val="00F855DC"/>
    <w:rsid w:val="00F861C5"/>
    <w:rsid w:val="00F906D6"/>
    <w:rsid w:val="00F90767"/>
    <w:rsid w:val="00F92040"/>
    <w:rsid w:val="00F921A2"/>
    <w:rsid w:val="00F9262F"/>
    <w:rsid w:val="00F9399A"/>
    <w:rsid w:val="00F939B9"/>
    <w:rsid w:val="00F95147"/>
    <w:rsid w:val="00F9597C"/>
    <w:rsid w:val="00F95B6D"/>
    <w:rsid w:val="00F9637B"/>
    <w:rsid w:val="00F963E5"/>
    <w:rsid w:val="00F97ED2"/>
    <w:rsid w:val="00FA0454"/>
    <w:rsid w:val="00FA072B"/>
    <w:rsid w:val="00FA1F39"/>
    <w:rsid w:val="00FA27A4"/>
    <w:rsid w:val="00FA3A7D"/>
    <w:rsid w:val="00FA421C"/>
    <w:rsid w:val="00FA43F7"/>
    <w:rsid w:val="00FA45CA"/>
    <w:rsid w:val="00FA481B"/>
    <w:rsid w:val="00FA55BF"/>
    <w:rsid w:val="00FA57AD"/>
    <w:rsid w:val="00FA67F0"/>
    <w:rsid w:val="00FA76EA"/>
    <w:rsid w:val="00FA7F5F"/>
    <w:rsid w:val="00FB0205"/>
    <w:rsid w:val="00FB02B3"/>
    <w:rsid w:val="00FB03A0"/>
    <w:rsid w:val="00FB07AA"/>
    <w:rsid w:val="00FB1473"/>
    <w:rsid w:val="00FB1948"/>
    <w:rsid w:val="00FB1D24"/>
    <w:rsid w:val="00FB1FB6"/>
    <w:rsid w:val="00FB28E6"/>
    <w:rsid w:val="00FB3E9E"/>
    <w:rsid w:val="00FB4188"/>
    <w:rsid w:val="00FB49EF"/>
    <w:rsid w:val="00FB4A73"/>
    <w:rsid w:val="00FB4FA0"/>
    <w:rsid w:val="00FB501E"/>
    <w:rsid w:val="00FB6041"/>
    <w:rsid w:val="00FB6493"/>
    <w:rsid w:val="00FB6C9B"/>
    <w:rsid w:val="00FB6FFD"/>
    <w:rsid w:val="00FB77A2"/>
    <w:rsid w:val="00FB7D0C"/>
    <w:rsid w:val="00FC08F9"/>
    <w:rsid w:val="00FC14E8"/>
    <w:rsid w:val="00FC192E"/>
    <w:rsid w:val="00FC1A3F"/>
    <w:rsid w:val="00FC1A6C"/>
    <w:rsid w:val="00FC1AB0"/>
    <w:rsid w:val="00FC1D28"/>
    <w:rsid w:val="00FC204A"/>
    <w:rsid w:val="00FC2E7D"/>
    <w:rsid w:val="00FC2F27"/>
    <w:rsid w:val="00FC30A9"/>
    <w:rsid w:val="00FC3B6D"/>
    <w:rsid w:val="00FC3E30"/>
    <w:rsid w:val="00FC4033"/>
    <w:rsid w:val="00FC4412"/>
    <w:rsid w:val="00FC4CFE"/>
    <w:rsid w:val="00FC4DC2"/>
    <w:rsid w:val="00FC5665"/>
    <w:rsid w:val="00FC6345"/>
    <w:rsid w:val="00FC706E"/>
    <w:rsid w:val="00FC724D"/>
    <w:rsid w:val="00FC7250"/>
    <w:rsid w:val="00FC7271"/>
    <w:rsid w:val="00FC78D3"/>
    <w:rsid w:val="00FD0DB2"/>
    <w:rsid w:val="00FD190A"/>
    <w:rsid w:val="00FD36D9"/>
    <w:rsid w:val="00FD3E72"/>
    <w:rsid w:val="00FD4739"/>
    <w:rsid w:val="00FD48BB"/>
    <w:rsid w:val="00FD51B5"/>
    <w:rsid w:val="00FD55E7"/>
    <w:rsid w:val="00FD60BE"/>
    <w:rsid w:val="00FD6828"/>
    <w:rsid w:val="00FD69AD"/>
    <w:rsid w:val="00FD6B15"/>
    <w:rsid w:val="00FD744C"/>
    <w:rsid w:val="00FD758E"/>
    <w:rsid w:val="00FD75F1"/>
    <w:rsid w:val="00FD7B58"/>
    <w:rsid w:val="00FE0255"/>
    <w:rsid w:val="00FE072B"/>
    <w:rsid w:val="00FE0BF9"/>
    <w:rsid w:val="00FE0C56"/>
    <w:rsid w:val="00FE0DBA"/>
    <w:rsid w:val="00FE18EE"/>
    <w:rsid w:val="00FE1934"/>
    <w:rsid w:val="00FE1CBD"/>
    <w:rsid w:val="00FE225B"/>
    <w:rsid w:val="00FE23BC"/>
    <w:rsid w:val="00FE2FA0"/>
    <w:rsid w:val="00FE3004"/>
    <w:rsid w:val="00FE4A3E"/>
    <w:rsid w:val="00FE679C"/>
    <w:rsid w:val="00FE688E"/>
    <w:rsid w:val="00FE7151"/>
    <w:rsid w:val="00FE7871"/>
    <w:rsid w:val="00FE7B91"/>
    <w:rsid w:val="00FE7F72"/>
    <w:rsid w:val="00FF0088"/>
    <w:rsid w:val="00FF04FC"/>
    <w:rsid w:val="00FF080E"/>
    <w:rsid w:val="00FF08D5"/>
    <w:rsid w:val="00FF0EDA"/>
    <w:rsid w:val="00FF12AE"/>
    <w:rsid w:val="00FF18B8"/>
    <w:rsid w:val="00FF2B41"/>
    <w:rsid w:val="00FF30CC"/>
    <w:rsid w:val="00FF3204"/>
    <w:rsid w:val="00FF3EEC"/>
    <w:rsid w:val="00FF58BB"/>
    <w:rsid w:val="00FF6357"/>
    <w:rsid w:val="00FF6575"/>
    <w:rsid w:val="00FF65E5"/>
    <w:rsid w:val="00FF704A"/>
    <w:rsid w:val="00FF7496"/>
    <w:rsid w:val="00FF7AD9"/>
    <w:rsid w:val="4BA40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632" w:firstLineChars="200"/>
      <w:jc w:val="both"/>
    </w:pPr>
    <w:rPr>
      <w:rFonts w:ascii="方正仿宋_GBK" w:hAnsi="黑体" w:eastAsia="方正仿宋_GBK" w:cs="方正仿宋_GBK"/>
      <w:kern w:val="2"/>
      <w:sz w:val="32"/>
      <w:szCs w:val="21"/>
      <w:lang w:val="en-US" w:eastAsia="zh-CN" w:bidi="ar-SA"/>
    </w:rPr>
  </w:style>
  <w:style w:type="paragraph" w:styleId="2">
    <w:name w:val="heading 1"/>
    <w:basedOn w:val="1"/>
    <w:next w:val="1"/>
    <w:link w:val="28"/>
    <w:qFormat/>
    <w:uiPriority w:val="9"/>
    <w:pPr>
      <w:keepNext/>
      <w:keepLines/>
      <w:spacing w:line="620" w:lineRule="exact"/>
      <w:ind w:firstLine="0" w:firstLineChars="0"/>
      <w:jc w:val="center"/>
      <w:outlineLvl w:val="0"/>
    </w:pPr>
    <w:rPr>
      <w:rFonts w:ascii="方正小标宋_GBK" w:hAnsi="方正小标宋_GBK" w:eastAsia="方正小标宋_GBK"/>
      <w:bCs/>
      <w:kern w:val="44"/>
      <w:szCs w:val="44"/>
    </w:rPr>
  </w:style>
  <w:style w:type="paragraph" w:styleId="3">
    <w:name w:val="heading 2"/>
    <w:basedOn w:val="1"/>
    <w:next w:val="1"/>
    <w:link w:val="29"/>
    <w:unhideWhenUsed/>
    <w:qFormat/>
    <w:uiPriority w:val="9"/>
    <w:pPr>
      <w:ind w:firstLine="0" w:firstLineChars="0"/>
      <w:jc w:val="center"/>
      <w:outlineLvl w:val="1"/>
    </w:pPr>
    <w:rPr>
      <w:rFonts w:ascii="方正黑体_GBK" w:hAnsi="方正黑体_GBK" w:eastAsia="方正黑体_GBK"/>
      <w:bCs/>
      <w:szCs w:val="32"/>
    </w:rPr>
  </w:style>
  <w:style w:type="paragraph" w:styleId="4">
    <w:name w:val="heading 3"/>
    <w:basedOn w:val="1"/>
    <w:next w:val="1"/>
    <w:link w:val="30"/>
    <w:qFormat/>
    <w:uiPriority w:val="9"/>
    <w:pPr>
      <w:ind w:firstLine="0" w:firstLineChars="0"/>
      <w:jc w:val="center"/>
      <w:outlineLvl w:val="2"/>
    </w:pPr>
    <w:rPr>
      <w:rFonts w:ascii="方正楷体_GBK" w:hAnsi="方正楷体_GBK" w:eastAsia="方正楷体_GBK"/>
      <w:bCs/>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Calibri Light" w:hAnsi="Calibri Light" w:cs="宋体"/>
      <w:b/>
      <w:bCs/>
      <w:szCs w:val="28"/>
    </w:rPr>
  </w:style>
  <w:style w:type="character" w:default="1" w:styleId="23">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firstLine="0" w:firstLineChars="0"/>
    </w:pPr>
    <w:rPr>
      <w:rFonts w:asciiTheme="minorHAnsi" w:hAnsiTheme="minorHAnsi" w:eastAsiaTheme="minorEastAsia" w:cstheme="minorBidi"/>
      <w:sz w:val="21"/>
      <w:szCs w:val="22"/>
    </w:rPr>
  </w:style>
  <w:style w:type="paragraph" w:styleId="7">
    <w:name w:val="annotation text"/>
    <w:basedOn w:val="1"/>
    <w:link w:val="41"/>
    <w:unhideWhenUsed/>
    <w:qFormat/>
    <w:uiPriority w:val="99"/>
    <w:pPr>
      <w:ind w:firstLine="0" w:firstLineChars="0"/>
      <w:jc w:val="left"/>
    </w:pPr>
    <w:rPr>
      <w:rFonts w:asciiTheme="minorHAnsi" w:hAnsiTheme="minorHAnsi" w:cstheme="minorBidi"/>
      <w:szCs w:val="22"/>
    </w:rPr>
  </w:style>
  <w:style w:type="paragraph" w:styleId="8">
    <w:name w:val="toc 5"/>
    <w:basedOn w:val="1"/>
    <w:next w:val="1"/>
    <w:unhideWhenUsed/>
    <w:qFormat/>
    <w:uiPriority w:val="39"/>
    <w:pPr>
      <w:ind w:left="1680" w:leftChars="800" w:firstLine="0" w:firstLineChars="0"/>
    </w:pPr>
    <w:rPr>
      <w:rFonts w:asciiTheme="minorHAnsi" w:hAnsiTheme="minorHAnsi" w:eastAsiaTheme="minorEastAsia" w:cstheme="minorBidi"/>
      <w:sz w:val="21"/>
      <w:szCs w:val="22"/>
    </w:rPr>
  </w:style>
  <w:style w:type="paragraph" w:styleId="9">
    <w:name w:val="toc 3"/>
    <w:basedOn w:val="1"/>
    <w:next w:val="1"/>
    <w:unhideWhenUsed/>
    <w:qFormat/>
    <w:uiPriority w:val="39"/>
    <w:pPr>
      <w:tabs>
        <w:tab w:val="left" w:pos="2010"/>
        <w:tab w:val="right" w:leader="dot" w:pos="8834"/>
      </w:tabs>
      <w:ind w:left="1263" w:leftChars="400" w:firstLine="0" w:firstLineChars="0"/>
      <w:jc w:val="center"/>
    </w:pPr>
    <w:rPr>
      <w:rFonts w:ascii="方正楷体_GBK" w:hAnsi="Times New Roman" w:eastAsia="方正楷体_GBK" w:cs="Times New Roman"/>
      <w:bCs/>
      <w:szCs w:val="22"/>
    </w:rPr>
  </w:style>
  <w:style w:type="paragraph" w:styleId="10">
    <w:name w:val="toc 8"/>
    <w:basedOn w:val="1"/>
    <w:next w:val="1"/>
    <w:unhideWhenUsed/>
    <w:qFormat/>
    <w:uiPriority w:val="39"/>
    <w:pPr>
      <w:ind w:left="2940" w:leftChars="1400" w:firstLine="0" w:firstLineChars="0"/>
    </w:pPr>
    <w:rPr>
      <w:rFonts w:asciiTheme="minorHAnsi" w:hAnsiTheme="minorHAnsi" w:eastAsiaTheme="minorEastAsia" w:cstheme="minorBidi"/>
      <w:sz w:val="21"/>
      <w:szCs w:val="22"/>
    </w:rPr>
  </w:style>
  <w:style w:type="paragraph" w:styleId="11">
    <w:name w:val="endnote text"/>
    <w:basedOn w:val="1"/>
    <w:link w:val="47"/>
    <w:semiHidden/>
    <w:unhideWhenUsed/>
    <w:qFormat/>
    <w:uiPriority w:val="99"/>
    <w:pPr>
      <w:snapToGrid w:val="0"/>
      <w:jc w:val="left"/>
    </w:pPr>
  </w:style>
  <w:style w:type="paragraph" w:styleId="12">
    <w:name w:val="Balloon Text"/>
    <w:basedOn w:val="1"/>
    <w:link w:val="35"/>
    <w:semiHidden/>
    <w:unhideWhenUsed/>
    <w:uiPriority w:val="99"/>
    <w:rPr>
      <w:sz w:val="18"/>
      <w:szCs w:val="18"/>
    </w:rPr>
  </w:style>
  <w:style w:type="paragraph" w:styleId="13">
    <w:name w:val="footer"/>
    <w:basedOn w:val="1"/>
    <w:link w:val="33"/>
    <w:unhideWhenUsed/>
    <w:uiPriority w:val="99"/>
    <w:pPr>
      <w:tabs>
        <w:tab w:val="center" w:pos="4153"/>
        <w:tab w:val="right" w:pos="8306"/>
      </w:tabs>
      <w:snapToGrid w:val="0"/>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uiPriority w:val="39"/>
    <w:pPr>
      <w:tabs>
        <w:tab w:val="right" w:leader="dot" w:pos="8834"/>
      </w:tabs>
      <w:ind w:firstLine="0" w:firstLineChars="0"/>
    </w:pPr>
    <w:rPr>
      <w:rFonts w:asciiTheme="minorHAnsi" w:hAnsiTheme="minorHAnsi" w:cstheme="minorBidi"/>
      <w:szCs w:val="22"/>
    </w:rPr>
  </w:style>
  <w:style w:type="paragraph" w:styleId="16">
    <w:name w:val="toc 4"/>
    <w:basedOn w:val="1"/>
    <w:next w:val="1"/>
    <w:unhideWhenUsed/>
    <w:qFormat/>
    <w:uiPriority w:val="39"/>
    <w:pPr>
      <w:ind w:left="1260" w:leftChars="600" w:firstLine="0" w:firstLineChars="0"/>
    </w:pPr>
    <w:rPr>
      <w:rFonts w:asciiTheme="minorHAnsi" w:hAnsiTheme="minorHAnsi" w:eastAsiaTheme="minorEastAsia" w:cstheme="minorBidi"/>
      <w:sz w:val="21"/>
      <w:szCs w:val="22"/>
    </w:rPr>
  </w:style>
  <w:style w:type="paragraph" w:styleId="17">
    <w:name w:val="footnote text"/>
    <w:basedOn w:val="1"/>
    <w:link w:val="37"/>
    <w:semiHidden/>
    <w:unhideWhenUsed/>
    <w:uiPriority w:val="99"/>
    <w:pPr>
      <w:snapToGrid w:val="0"/>
      <w:ind w:firstLine="0" w:firstLineChars="0"/>
      <w:jc w:val="left"/>
    </w:pPr>
    <w:rPr>
      <w:rFonts w:ascii="Calibri" w:hAnsi="Calibri" w:eastAsia="宋体" w:cs="Times New Roman"/>
      <w:kern w:val="0"/>
      <w:sz w:val="18"/>
      <w:szCs w:val="18"/>
    </w:rPr>
  </w:style>
  <w:style w:type="paragraph" w:styleId="18">
    <w:name w:val="toc 6"/>
    <w:basedOn w:val="1"/>
    <w:next w:val="1"/>
    <w:unhideWhenUsed/>
    <w:qFormat/>
    <w:uiPriority w:val="39"/>
    <w:pPr>
      <w:ind w:left="2100" w:leftChars="1000" w:firstLine="0" w:firstLineChars="0"/>
    </w:pPr>
    <w:rPr>
      <w:rFonts w:asciiTheme="minorHAnsi" w:hAnsiTheme="minorHAnsi" w:eastAsiaTheme="minorEastAsia" w:cstheme="minorBidi"/>
      <w:sz w:val="21"/>
      <w:szCs w:val="22"/>
    </w:rPr>
  </w:style>
  <w:style w:type="paragraph" w:styleId="19">
    <w:name w:val="toc 2"/>
    <w:basedOn w:val="1"/>
    <w:next w:val="1"/>
    <w:unhideWhenUsed/>
    <w:qFormat/>
    <w:uiPriority w:val="39"/>
    <w:pPr>
      <w:ind w:left="420" w:leftChars="200" w:firstLine="0" w:firstLineChars="0"/>
    </w:pPr>
    <w:rPr>
      <w:rFonts w:asciiTheme="minorHAnsi" w:hAnsiTheme="minorHAnsi" w:cstheme="minorBidi"/>
      <w:szCs w:val="22"/>
    </w:rPr>
  </w:style>
  <w:style w:type="paragraph" w:styleId="20">
    <w:name w:val="toc 9"/>
    <w:basedOn w:val="1"/>
    <w:next w:val="1"/>
    <w:unhideWhenUsed/>
    <w:qFormat/>
    <w:uiPriority w:val="39"/>
    <w:pPr>
      <w:ind w:left="3360" w:leftChars="1600" w:firstLine="0" w:firstLineChars="0"/>
    </w:pPr>
    <w:rPr>
      <w:rFonts w:asciiTheme="minorHAnsi" w:hAnsiTheme="minorHAnsi" w:eastAsiaTheme="minorEastAsia" w:cstheme="minorBidi"/>
      <w:sz w:val="21"/>
      <w:szCs w:val="22"/>
    </w:rPr>
  </w:style>
  <w:style w:type="paragraph" w:styleId="21">
    <w:name w:val="annotation subject"/>
    <w:basedOn w:val="7"/>
    <w:next w:val="7"/>
    <w:link w:val="42"/>
    <w:semiHidden/>
    <w:unhideWhenUsed/>
    <w:qFormat/>
    <w:uiPriority w:val="99"/>
    <w:rPr>
      <w:b/>
      <w:bCs/>
    </w:rPr>
  </w:style>
  <w:style w:type="character" w:styleId="24">
    <w:name w:val="endnote reference"/>
    <w:basedOn w:val="23"/>
    <w:semiHidden/>
    <w:unhideWhenUsed/>
    <w:qFormat/>
    <w:uiPriority w:val="99"/>
    <w:rPr>
      <w:vertAlign w:val="superscript"/>
    </w:rPr>
  </w:style>
  <w:style w:type="character" w:styleId="25">
    <w:name w:val="Hyperlink"/>
    <w:basedOn w:val="23"/>
    <w:unhideWhenUsed/>
    <w:qFormat/>
    <w:uiPriority w:val="99"/>
    <w:rPr>
      <w:color w:val="0563C1" w:themeColor="hyperlink"/>
      <w:u w:val="single"/>
    </w:rPr>
  </w:style>
  <w:style w:type="character" w:styleId="26">
    <w:name w:val="annotation reference"/>
    <w:basedOn w:val="23"/>
    <w:semiHidden/>
    <w:unhideWhenUsed/>
    <w:qFormat/>
    <w:uiPriority w:val="99"/>
    <w:rPr>
      <w:sz w:val="21"/>
      <w:szCs w:val="21"/>
    </w:rPr>
  </w:style>
  <w:style w:type="character" w:styleId="27">
    <w:name w:val="footnote reference"/>
    <w:basedOn w:val="23"/>
    <w:semiHidden/>
    <w:unhideWhenUsed/>
    <w:uiPriority w:val="99"/>
    <w:rPr>
      <w:vertAlign w:val="superscript"/>
    </w:rPr>
  </w:style>
  <w:style w:type="character" w:customStyle="1" w:styleId="28">
    <w:name w:val="标题 1 Char"/>
    <w:link w:val="2"/>
    <w:qFormat/>
    <w:uiPriority w:val="9"/>
    <w:rPr>
      <w:rFonts w:ascii="方正小标宋_GBK" w:hAnsi="方正小标宋_GBK" w:eastAsia="方正小标宋_GBK" w:cs="方正仿宋_GBK"/>
      <w:bCs/>
      <w:kern w:val="44"/>
      <w:sz w:val="32"/>
      <w:szCs w:val="44"/>
    </w:rPr>
  </w:style>
  <w:style w:type="character" w:customStyle="1" w:styleId="29">
    <w:name w:val="标题 2 Char"/>
    <w:link w:val="3"/>
    <w:uiPriority w:val="9"/>
    <w:rPr>
      <w:rFonts w:ascii="方正黑体_GBK" w:hAnsi="方正黑体_GBK" w:eastAsia="方正黑体_GBK" w:cs="方正仿宋_GBK"/>
      <w:bCs/>
      <w:kern w:val="2"/>
      <w:sz w:val="32"/>
      <w:szCs w:val="32"/>
    </w:rPr>
  </w:style>
  <w:style w:type="character" w:customStyle="1" w:styleId="30">
    <w:name w:val="标题 3 Char"/>
    <w:link w:val="4"/>
    <w:qFormat/>
    <w:uiPriority w:val="9"/>
    <w:rPr>
      <w:rFonts w:ascii="方正楷体_GBK" w:hAnsi="方正楷体_GBK" w:eastAsia="方正楷体_GBK" w:cs="方正仿宋_GBK"/>
      <w:bCs/>
      <w:kern w:val="2"/>
      <w:sz w:val="32"/>
      <w:szCs w:val="32"/>
    </w:rPr>
  </w:style>
  <w:style w:type="character" w:customStyle="1" w:styleId="31">
    <w:name w:val="标题 4 Char"/>
    <w:basedOn w:val="23"/>
    <w:link w:val="5"/>
    <w:qFormat/>
    <w:uiPriority w:val="9"/>
    <w:rPr>
      <w:rFonts w:ascii="Calibri Light" w:hAnsi="Calibri Light" w:eastAsia="方正仿宋_GBK" w:cs="宋体"/>
      <w:b/>
      <w:bCs/>
      <w:kern w:val="2"/>
      <w:sz w:val="32"/>
      <w:szCs w:val="28"/>
    </w:rPr>
  </w:style>
  <w:style w:type="character" w:customStyle="1" w:styleId="32">
    <w:name w:val="页眉 Char"/>
    <w:link w:val="14"/>
    <w:uiPriority w:val="99"/>
    <w:rPr>
      <w:rFonts w:ascii="Times New Roman" w:hAnsi="Times New Roman" w:eastAsia="仿宋_GB2312"/>
      <w:kern w:val="2"/>
      <w:sz w:val="18"/>
      <w:szCs w:val="18"/>
    </w:rPr>
  </w:style>
  <w:style w:type="character" w:customStyle="1" w:styleId="33">
    <w:name w:val="页脚 Char"/>
    <w:link w:val="13"/>
    <w:uiPriority w:val="99"/>
    <w:rPr>
      <w:rFonts w:ascii="Times New Roman" w:hAnsi="Times New Roman" w:eastAsia="仿宋_GB2312"/>
      <w:kern w:val="2"/>
      <w:sz w:val="18"/>
      <w:szCs w:val="18"/>
    </w:rPr>
  </w:style>
  <w:style w:type="paragraph" w:styleId="34">
    <w:name w:val="List Paragraph"/>
    <w:basedOn w:val="1"/>
    <w:qFormat/>
    <w:uiPriority w:val="34"/>
    <w:pPr>
      <w:ind w:firstLine="420"/>
    </w:pPr>
  </w:style>
  <w:style w:type="character" w:customStyle="1" w:styleId="35">
    <w:name w:val="批注框文本 Char"/>
    <w:basedOn w:val="23"/>
    <w:link w:val="12"/>
    <w:semiHidden/>
    <w:uiPriority w:val="99"/>
    <w:rPr>
      <w:rFonts w:ascii="方正仿宋_GBK" w:hAnsi="黑体" w:eastAsia="方正仿宋_GBK" w:cs="方正仿宋_GBK"/>
      <w:kern w:val="2"/>
      <w:sz w:val="18"/>
      <w:szCs w:val="18"/>
    </w:rPr>
  </w:style>
  <w:style w:type="paragraph" w:customStyle="1" w:styleId="36">
    <w:name w:val="paragraph"/>
    <w:basedOn w:val="1"/>
    <w:uiPriority w:val="0"/>
    <w:pPr>
      <w:widowControl/>
      <w:spacing w:before="100" w:beforeAutospacing="1" w:after="100" w:afterAutospacing="1"/>
      <w:ind w:firstLine="0" w:firstLineChars="0"/>
      <w:jc w:val="left"/>
    </w:pPr>
    <w:rPr>
      <w:rFonts w:ascii="宋体" w:hAnsi="宋体" w:eastAsia="宋体" w:cs="宋体"/>
      <w:kern w:val="0"/>
      <w:sz w:val="24"/>
      <w:szCs w:val="24"/>
    </w:rPr>
  </w:style>
  <w:style w:type="character" w:customStyle="1" w:styleId="37">
    <w:name w:val="脚注文本 Char"/>
    <w:basedOn w:val="23"/>
    <w:link w:val="17"/>
    <w:semiHidden/>
    <w:uiPriority w:val="99"/>
    <w:rPr>
      <w:sz w:val="18"/>
      <w:szCs w:val="18"/>
    </w:rPr>
  </w:style>
  <w:style w:type="character" w:customStyle="1" w:styleId="38">
    <w:name w:val="脚注文本 Char1"/>
    <w:basedOn w:val="23"/>
    <w:semiHidden/>
    <w:qFormat/>
    <w:uiPriority w:val="99"/>
    <w:rPr>
      <w:rFonts w:ascii="方正仿宋_GBK" w:hAnsi="黑体" w:eastAsia="方正仿宋_GBK" w:cs="方正仿宋_GBK"/>
      <w:kern w:val="2"/>
      <w:sz w:val="18"/>
      <w:szCs w:val="18"/>
    </w:rPr>
  </w:style>
  <w:style w:type="table" w:customStyle="1" w:styleId="39">
    <w:name w:val="网格型5"/>
    <w:basedOn w:val="22"/>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Cs w:val="0"/>
      <w:color w:val="2E75B5" w:themeColor="accent1" w:themeShade="BF"/>
      <w:kern w:val="0"/>
      <w:szCs w:val="32"/>
    </w:rPr>
  </w:style>
  <w:style w:type="character" w:customStyle="1" w:styleId="41">
    <w:name w:val="批注文字 Char"/>
    <w:basedOn w:val="23"/>
    <w:link w:val="7"/>
    <w:qFormat/>
    <w:uiPriority w:val="99"/>
    <w:rPr>
      <w:rFonts w:eastAsia="方正仿宋_GBK" w:asciiTheme="minorHAnsi" w:hAnsiTheme="minorHAnsi" w:cstheme="minorBidi"/>
      <w:kern w:val="2"/>
      <w:sz w:val="32"/>
      <w:szCs w:val="22"/>
    </w:rPr>
  </w:style>
  <w:style w:type="character" w:customStyle="1" w:styleId="42">
    <w:name w:val="批注主题 Char"/>
    <w:basedOn w:val="41"/>
    <w:link w:val="21"/>
    <w:semiHidden/>
    <w:qFormat/>
    <w:uiPriority w:val="99"/>
    <w:rPr>
      <w:rFonts w:eastAsia="方正仿宋_GBK" w:asciiTheme="minorHAnsi" w:hAnsiTheme="minorHAnsi" w:cstheme="minorBidi"/>
      <w:b/>
      <w:bCs/>
      <w:kern w:val="2"/>
      <w:sz w:val="32"/>
      <w:szCs w:val="22"/>
    </w:rPr>
  </w:style>
  <w:style w:type="table" w:customStyle="1" w:styleId="43">
    <w:name w:val="网格型51"/>
    <w:basedOn w:val="22"/>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44">
    <w:name w:val="No Spacing"/>
    <w:qFormat/>
    <w:uiPriority w:val="1"/>
    <w:pPr>
      <w:widowControl w:val="0"/>
      <w:ind w:firstLine="200" w:firstLineChars="200"/>
      <w:jc w:val="both"/>
    </w:pPr>
    <w:rPr>
      <w:rFonts w:ascii="等线" w:hAnsi="等线" w:eastAsia="方正仿宋_GBK" w:cs="Times New Roman"/>
      <w:kern w:val="2"/>
      <w:sz w:val="32"/>
      <w:szCs w:val="22"/>
      <w:lang w:val="en-US" w:eastAsia="zh-CN" w:bidi="ar-SA"/>
    </w:rPr>
  </w:style>
  <w:style w:type="table" w:customStyle="1" w:styleId="45">
    <w:name w:val="网格型55"/>
    <w:basedOn w:val="22"/>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bjh-p"/>
    <w:basedOn w:val="23"/>
    <w:qFormat/>
    <w:uiPriority w:val="0"/>
  </w:style>
  <w:style w:type="character" w:customStyle="1" w:styleId="47">
    <w:name w:val="尾注文本 Char"/>
    <w:basedOn w:val="23"/>
    <w:link w:val="11"/>
    <w:semiHidden/>
    <w:qFormat/>
    <w:uiPriority w:val="99"/>
    <w:rPr>
      <w:rFonts w:ascii="方正仿宋_GBK" w:hAnsi="黑体" w:eastAsia="方正仿宋_GBK" w:cs="方正仿宋_GBK"/>
      <w:kern w:val="2"/>
      <w:sz w:val="32"/>
      <w:szCs w:val="21"/>
    </w:rPr>
  </w:style>
  <w:style w:type="paragraph" w:customStyle="1" w:styleId="48">
    <w:name w:val="Revision"/>
    <w:hidden/>
    <w:semiHidden/>
    <w:qFormat/>
    <w:uiPriority w:val="99"/>
    <w:rPr>
      <w:rFonts w:ascii="方正仿宋_GBK" w:hAnsi="黑体" w:eastAsia="方正仿宋_GBK" w:cs="方正仿宋_GBK"/>
      <w:kern w:val="2"/>
      <w:sz w:val="3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gPC\Documents\&#33258;&#23450;&#20041;%20Office%20&#27169;&#26495;\&#20844;&#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FDCD11-1834-4451-8E6D-B01C460D648B}">
  <ds:schemaRefs/>
</ds:datastoreItem>
</file>

<file path=docProps/app.xml><?xml version="1.0" encoding="utf-8"?>
<Properties xmlns="http://schemas.openxmlformats.org/officeDocument/2006/extended-properties" xmlns:vt="http://schemas.openxmlformats.org/officeDocument/2006/docPropsVTypes">
  <Template>公文模板.dotx</Template>
  <Company>Microsoft</Company>
  <Pages>163</Pages>
  <Words>12288</Words>
  <Characters>70042</Characters>
  <Lines>583</Lines>
  <Paragraphs>164</Paragraphs>
  <TotalTime>13</TotalTime>
  <ScaleCrop>false</ScaleCrop>
  <LinksUpToDate>false</LinksUpToDate>
  <CharactersWithSpaces>82166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2021-03-26T05:15:00Z</dcterms:created>
  <dc:creator>凌天侯</dc:creator>
  <cp:lastModifiedBy>红鲤鱼与绿鲤鱼与驴</cp:lastModifiedBy>
  <cp:lastPrinted>2021-03-20T05:55:00Z</cp:lastPrinted>
  <dcterms:modified xsi:type="dcterms:W3CDTF">2023-11-22T07:16:34Z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BA84B76E8189419CAE787A7873CE998B_12</vt:lpwstr>
  </property>
</Properties>
</file>