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D0" w:rsidRDefault="00D034D0" w:rsidP="00D034D0">
      <w:pPr>
        <w:spacing w:line="567" w:lineRule="exact"/>
        <w:ind w:left="109"/>
        <w:jc w:val="left"/>
        <w:rPr>
          <w:rFonts w:eastAsia="Times New Roman" w:cs="Times New Roman"/>
          <w:kern w:val="0"/>
          <w:szCs w:val="32"/>
        </w:rPr>
      </w:pPr>
      <w:r w:rsidRPr="00D034D0">
        <w:rPr>
          <w:rFonts w:eastAsia="方正黑体_GBK" w:cs="Times New Roman"/>
          <w:kern w:val="0"/>
          <w:szCs w:val="32"/>
        </w:rPr>
        <w:t>附件</w:t>
      </w:r>
      <w:r w:rsidRPr="00D034D0">
        <w:rPr>
          <w:rFonts w:eastAsia="方正黑体_GBK" w:cs="Times New Roman"/>
          <w:spacing w:val="-8"/>
          <w:kern w:val="0"/>
          <w:szCs w:val="32"/>
        </w:rPr>
        <w:t xml:space="preserve"> </w:t>
      </w:r>
    </w:p>
    <w:p w:rsidR="00D034D0" w:rsidRPr="00D034D0" w:rsidRDefault="00D034D0" w:rsidP="00D034D0">
      <w:pPr>
        <w:spacing w:line="567" w:lineRule="exact"/>
        <w:ind w:left="109"/>
        <w:jc w:val="left"/>
        <w:rPr>
          <w:rFonts w:eastAsia="Times New Roman" w:cs="Times New Roman"/>
          <w:kern w:val="0"/>
          <w:szCs w:val="32"/>
        </w:rPr>
      </w:pPr>
    </w:p>
    <w:p w:rsidR="00CC6C80" w:rsidRPr="00CC6C80" w:rsidRDefault="00CC6C80" w:rsidP="00CC6C80">
      <w:pPr>
        <w:spacing w:line="567" w:lineRule="exact"/>
        <w:jc w:val="center"/>
        <w:rPr>
          <w:rFonts w:eastAsia="方正小标宋_GBK" w:cs="Times New Roman"/>
          <w:bCs/>
          <w:kern w:val="36"/>
          <w:sz w:val="44"/>
          <w:szCs w:val="44"/>
        </w:rPr>
      </w:pPr>
      <w:r w:rsidRPr="00CC6C80">
        <w:rPr>
          <w:rFonts w:eastAsia="方正小标宋_GBK" w:cs="Times New Roman" w:hint="eastAsia"/>
          <w:bCs/>
          <w:kern w:val="36"/>
          <w:sz w:val="44"/>
          <w:szCs w:val="44"/>
        </w:rPr>
        <w:t>2023</w:t>
      </w:r>
      <w:r w:rsidRPr="00CC6C80">
        <w:rPr>
          <w:rFonts w:eastAsia="方正小标宋_GBK" w:cs="Times New Roman" w:hint="eastAsia"/>
          <w:bCs/>
          <w:kern w:val="36"/>
          <w:sz w:val="44"/>
          <w:szCs w:val="44"/>
        </w:rPr>
        <w:t>年度无锡市科技创新</w:t>
      </w:r>
      <w:r w:rsidRPr="00CC6C80">
        <w:rPr>
          <w:rFonts w:eastAsia="方正小标宋_GBK" w:cs="Times New Roman"/>
          <w:bCs/>
          <w:kern w:val="36"/>
          <w:sz w:val="44"/>
          <w:szCs w:val="44"/>
        </w:rPr>
        <w:t>创业</w:t>
      </w:r>
      <w:r w:rsidRPr="00CC6C80">
        <w:rPr>
          <w:rFonts w:eastAsia="方正小标宋_GBK" w:cs="Times New Roman" w:hint="eastAsia"/>
          <w:bCs/>
          <w:kern w:val="36"/>
          <w:sz w:val="44"/>
          <w:szCs w:val="44"/>
        </w:rPr>
        <w:t>资金</w:t>
      </w:r>
    </w:p>
    <w:p w:rsidR="00D034D0" w:rsidRDefault="00CC6C80" w:rsidP="00CC6C80">
      <w:pPr>
        <w:spacing w:line="567" w:lineRule="exact"/>
        <w:jc w:val="center"/>
        <w:rPr>
          <w:rFonts w:eastAsia="方正小标宋_GBK" w:cs="Times New Roman"/>
          <w:bCs/>
          <w:kern w:val="36"/>
          <w:sz w:val="44"/>
          <w:szCs w:val="44"/>
        </w:rPr>
      </w:pPr>
      <w:r w:rsidRPr="00CC6C80">
        <w:rPr>
          <w:rFonts w:eastAsia="方正小标宋_GBK" w:cs="Times New Roman" w:hint="eastAsia"/>
          <w:bCs/>
          <w:kern w:val="36"/>
          <w:sz w:val="44"/>
          <w:szCs w:val="44"/>
        </w:rPr>
        <w:t>（科技保险）项目申报指南</w:t>
      </w:r>
    </w:p>
    <w:p w:rsidR="00CC6C80" w:rsidRPr="00D034D0" w:rsidRDefault="00CC6C80" w:rsidP="00CC6C80">
      <w:pPr>
        <w:spacing w:line="567" w:lineRule="exact"/>
        <w:jc w:val="center"/>
        <w:rPr>
          <w:rFonts w:eastAsia="方正小标宋_GBK" w:cs="Times New Roman"/>
          <w:sz w:val="40"/>
          <w:szCs w:val="40"/>
        </w:rPr>
      </w:pPr>
    </w:p>
    <w:p w:rsidR="00CC6C80" w:rsidRPr="00453424" w:rsidRDefault="00CC6C80" w:rsidP="00CC6C80">
      <w:pPr>
        <w:widowControl/>
        <w:spacing w:line="578" w:lineRule="exact"/>
        <w:ind w:firstLineChars="200" w:firstLine="632"/>
        <w:rPr>
          <w:rFonts w:ascii="方正仿宋_GBK" w:hAnsi="方正仿宋_GBK" w:cs="方正仿宋_GBK"/>
          <w:kern w:val="0"/>
        </w:rPr>
      </w:pPr>
      <w:r w:rsidRPr="00453424">
        <w:rPr>
          <w:rFonts w:ascii="方正仿宋_GBK" w:hAnsi="方正仿宋_GBK" w:cs="方正仿宋_GBK" w:hint="eastAsia"/>
          <w:kern w:val="0"/>
        </w:rPr>
        <w:t>积极引导在锡保险机构创新科技保险产品，有效发挥科技保险对科技创新风险的分散、转移、消化作用，提升科技投入效能，推动创新链产业链资金链人才链深度融合。</w:t>
      </w:r>
      <w:bookmarkStart w:id="0" w:name="_GoBack"/>
      <w:bookmarkEnd w:id="0"/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rFonts w:eastAsia="方正黑体_GBK"/>
          <w:kern w:val="0"/>
        </w:rPr>
      </w:pPr>
      <w:r w:rsidRPr="00453424">
        <w:rPr>
          <w:rFonts w:ascii="方正黑体_GBK" w:eastAsia="方正黑体_GBK" w:hAnsi="方正黑体_GBK" w:cs="方正黑体_GBK" w:hint="eastAsia"/>
          <w:kern w:val="0"/>
        </w:rPr>
        <w:t>一、支持范围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rFonts w:ascii="方正仿宋_GBK" w:hAnsi="方正仿宋_GBK" w:cs="方正仿宋_GBK"/>
          <w:kern w:val="0"/>
        </w:rPr>
      </w:pPr>
      <w:r w:rsidRPr="00453424">
        <w:rPr>
          <w:rFonts w:ascii="方正仿宋_GBK" w:hAnsi="方正仿宋_GBK" w:cs="方正仿宋_GBK" w:hint="eastAsia"/>
          <w:kern w:val="0"/>
        </w:rPr>
        <w:t>保险机构根据创新型企业的成长规律，以及集成电路、物联网、生物医药等我市“465”现代产业集群重点领域研发创新需求，开发行业专用科技保险产品或其他重大创新产品。相关产品须经监管部门批准或备案，且</w:t>
      </w:r>
      <w:r w:rsidRPr="00453424">
        <w:rPr>
          <w:kern w:val="0"/>
        </w:rPr>
        <w:t>近两</w:t>
      </w:r>
      <w:r w:rsidRPr="00453424">
        <w:rPr>
          <w:rFonts w:hint="eastAsia"/>
          <w:kern w:val="0"/>
        </w:rPr>
        <w:t>年（</w:t>
      </w:r>
      <w:r w:rsidRPr="00453424">
        <w:rPr>
          <w:rFonts w:hint="eastAsia"/>
          <w:kern w:val="0"/>
        </w:rPr>
        <w:t>2022</w:t>
      </w:r>
      <w:r w:rsidRPr="00453424">
        <w:rPr>
          <w:rFonts w:hint="eastAsia"/>
          <w:kern w:val="0"/>
        </w:rPr>
        <w:t>年至</w:t>
      </w:r>
      <w:r w:rsidRPr="00453424">
        <w:rPr>
          <w:kern w:val="0"/>
        </w:rPr>
        <w:t>今</w:t>
      </w:r>
      <w:r w:rsidRPr="00453424">
        <w:rPr>
          <w:rFonts w:hint="eastAsia"/>
          <w:kern w:val="0"/>
        </w:rPr>
        <w:t>）</w:t>
      </w:r>
      <w:r w:rsidRPr="00453424">
        <w:rPr>
          <w:rFonts w:ascii="方正仿宋_GBK" w:hAnsi="方正仿宋_GBK" w:cs="方正仿宋_GBK" w:hint="eastAsia"/>
          <w:kern w:val="0"/>
        </w:rPr>
        <w:t>已在无锡市</w:t>
      </w:r>
      <w:r w:rsidRPr="00453424">
        <w:rPr>
          <w:rFonts w:ascii="方正仿宋_GBK" w:hAnsi="方正仿宋_GBK" w:cs="方正仿宋_GBK" w:hint="eastAsia"/>
        </w:rPr>
        <w:t>试点销售</w:t>
      </w:r>
      <w:r w:rsidRPr="00453424">
        <w:rPr>
          <w:rFonts w:ascii="方正仿宋_GBK" w:hAnsi="方正仿宋_GBK" w:cs="方正仿宋_GBK" w:hint="eastAsia"/>
          <w:kern w:val="0"/>
        </w:rPr>
        <w:t>。产品险种设计应符合科技企业经营和发展的需求和特点，应体现投保条件宽、免赔较低、赔偿及时、费率优惠等比普通商业保险险种更具优势的服务内容。险种经营应当有助于降低或分散科技企业在产品研发、技术交易、成果转化、生产与销售、融资等环节中的风险。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rFonts w:ascii="方正黑体_GBK" w:eastAsia="方正黑体_GBK" w:hAnsi="方正黑体_GBK" w:cs="方正黑体_GBK"/>
          <w:kern w:val="0"/>
        </w:rPr>
      </w:pPr>
      <w:r w:rsidRPr="00453424">
        <w:rPr>
          <w:rFonts w:ascii="方正黑体_GBK" w:eastAsia="方正黑体_GBK" w:hAnsi="方正黑体_GBK" w:cs="方正黑体_GBK" w:hint="eastAsia"/>
          <w:kern w:val="0"/>
        </w:rPr>
        <w:t>二、申报条件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1.</w:t>
      </w:r>
      <w:r w:rsidRPr="00453424">
        <w:rPr>
          <w:kern w:val="0"/>
        </w:rPr>
        <w:t>保险机构需经银保监会批准设立，并依法在无锡市设立分支机构，两年内未受到重大行政处罚；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lastRenderedPageBreak/>
        <w:t>2.</w:t>
      </w:r>
      <w:r w:rsidRPr="00453424">
        <w:rPr>
          <w:kern w:val="0"/>
        </w:rPr>
        <w:t>设有专门的科技保险服务团队，制定详细的科技保险险种的经营计划和目标。</w:t>
      </w:r>
    </w:p>
    <w:p w:rsidR="00CC6C80" w:rsidRPr="00453424" w:rsidRDefault="00CC6C80" w:rsidP="00CC6C80">
      <w:pPr>
        <w:spacing w:line="567" w:lineRule="exact"/>
        <w:ind w:firstLineChars="200" w:firstLine="632"/>
        <w:rPr>
          <w:rFonts w:ascii="方正黑体_GBK" w:eastAsia="方正黑体_GBK" w:hAnsi="黑体"/>
        </w:rPr>
      </w:pPr>
      <w:r w:rsidRPr="00453424">
        <w:rPr>
          <w:rFonts w:ascii="方正黑体_GBK" w:eastAsia="方正黑体_GBK" w:hAnsi="黑体" w:hint="eastAsia"/>
        </w:rPr>
        <w:t>三、支持方式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</w:pPr>
      <w:r w:rsidRPr="00453424">
        <w:t>对开发科技保险新产品，并在无锡市域内实现保单销售的保险机构，分类分档给予最高</w:t>
      </w:r>
      <w:r w:rsidRPr="00453424">
        <w:t>50</w:t>
      </w:r>
      <w:r w:rsidRPr="00453424">
        <w:t>万元支持。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rFonts w:eastAsia="方正黑体_GBK"/>
          <w:kern w:val="0"/>
        </w:rPr>
      </w:pPr>
      <w:r w:rsidRPr="00453424">
        <w:rPr>
          <w:rFonts w:eastAsia="方正黑体_GBK"/>
          <w:kern w:val="0"/>
        </w:rPr>
        <w:t>四、申报材料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1.</w:t>
      </w:r>
      <w:r w:rsidRPr="00453424">
        <w:rPr>
          <w:kern w:val="0"/>
        </w:rPr>
        <w:t>营业执照、经营保险业务许可证复印件（加盖单位公章）</w:t>
      </w:r>
      <w:r w:rsidRPr="00453424">
        <w:rPr>
          <w:rFonts w:hint="eastAsia"/>
          <w:kern w:val="0"/>
        </w:rPr>
        <w:t>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rFonts w:ascii="方正仿宋_GBK" w:hAnsi="方正仿宋_GBK" w:cs="方正仿宋_GBK"/>
          <w:kern w:val="0"/>
        </w:rPr>
      </w:pPr>
      <w:r w:rsidRPr="00453424">
        <w:rPr>
          <w:kern w:val="0"/>
        </w:rPr>
        <w:t>2.</w:t>
      </w:r>
      <w:r w:rsidRPr="00453424">
        <w:rPr>
          <w:rFonts w:ascii="方正仿宋_GBK" w:hAnsi="方正仿宋_GBK" w:cs="方正仿宋_GBK" w:hint="eastAsia"/>
          <w:kern w:val="0"/>
        </w:rPr>
        <w:t>银保监会或江苏银保监局对创新险种的批准或备案文件复印件。对于暂未取得批准文件但处于在售状态的保险险种，须打印保险公司在“中国保险行业协会财产保险公司自主注册产品查询”平台上的关于该保险险种在售状态的截图（均加盖单位公章）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3.</w:t>
      </w:r>
      <w:r w:rsidRPr="00453424">
        <w:rPr>
          <w:kern w:val="0"/>
        </w:rPr>
        <w:t>险种条款、费率表等相关说明文件</w:t>
      </w:r>
      <w:r w:rsidRPr="00453424">
        <w:rPr>
          <w:rFonts w:hint="eastAsia"/>
          <w:kern w:val="0"/>
        </w:rPr>
        <w:t>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4.</w:t>
      </w:r>
      <w:r w:rsidRPr="00453424">
        <w:rPr>
          <w:kern w:val="0"/>
        </w:rPr>
        <w:t>科技保险专有服务团队相关材料</w:t>
      </w:r>
      <w:r w:rsidRPr="00453424">
        <w:rPr>
          <w:rFonts w:hint="eastAsia"/>
          <w:kern w:val="0"/>
        </w:rPr>
        <w:t>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5.</w:t>
      </w:r>
      <w:r w:rsidRPr="00453424">
        <w:rPr>
          <w:kern w:val="0"/>
        </w:rPr>
        <w:t>科技保险创新产品近两年</w:t>
      </w:r>
      <w:r w:rsidRPr="00453424">
        <w:rPr>
          <w:rFonts w:hint="eastAsia"/>
          <w:kern w:val="0"/>
        </w:rPr>
        <w:t>年</w:t>
      </w:r>
      <w:r w:rsidRPr="00453424">
        <w:rPr>
          <w:kern w:val="0"/>
        </w:rPr>
        <w:t>度</w:t>
      </w:r>
      <w:r w:rsidRPr="00453424">
        <w:rPr>
          <w:rFonts w:hint="eastAsia"/>
          <w:kern w:val="0"/>
        </w:rPr>
        <w:t>经营</w:t>
      </w:r>
      <w:r w:rsidRPr="00453424">
        <w:rPr>
          <w:kern w:val="0"/>
        </w:rPr>
        <w:t>情况（包括承保企业数、承保保费、承保保额、工作措施、服务案例等）</w:t>
      </w:r>
      <w:r w:rsidRPr="00453424">
        <w:rPr>
          <w:rFonts w:hint="eastAsia"/>
          <w:kern w:val="0"/>
        </w:rPr>
        <w:t>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6.</w:t>
      </w:r>
      <w:r w:rsidRPr="00453424">
        <w:rPr>
          <w:rFonts w:hint="eastAsia"/>
          <w:kern w:val="0"/>
        </w:rPr>
        <w:t>科技保险创新产品近两年销售</w:t>
      </w:r>
      <w:r w:rsidRPr="00453424">
        <w:rPr>
          <w:kern w:val="0"/>
        </w:rPr>
        <w:t>的保险合同、发票</w:t>
      </w:r>
      <w:r w:rsidRPr="00453424">
        <w:rPr>
          <w:rFonts w:hint="eastAsia"/>
          <w:kern w:val="0"/>
        </w:rPr>
        <w:t>（</w:t>
      </w:r>
      <w:r w:rsidRPr="00453424">
        <w:rPr>
          <w:kern w:val="0"/>
        </w:rPr>
        <w:t>复印件加盖公章</w:t>
      </w:r>
      <w:r w:rsidRPr="00453424">
        <w:rPr>
          <w:rFonts w:hint="eastAsia"/>
          <w:kern w:val="0"/>
        </w:rPr>
        <w:t>）；</w:t>
      </w:r>
    </w:p>
    <w:p w:rsidR="00CC6C80" w:rsidRPr="00453424" w:rsidRDefault="00CC6C80" w:rsidP="00CC6C80">
      <w:pPr>
        <w:widowControl/>
        <w:shd w:val="clear" w:color="auto" w:fill="FFFFFF"/>
        <w:spacing w:line="567" w:lineRule="exact"/>
        <w:ind w:firstLineChars="200" w:firstLine="632"/>
        <w:rPr>
          <w:kern w:val="0"/>
        </w:rPr>
      </w:pPr>
      <w:r w:rsidRPr="00453424">
        <w:rPr>
          <w:kern w:val="0"/>
        </w:rPr>
        <w:t>7.</w:t>
      </w:r>
      <w:r w:rsidRPr="00453424">
        <w:rPr>
          <w:kern w:val="0"/>
        </w:rPr>
        <w:t>其他相关材料。</w:t>
      </w:r>
    </w:p>
    <w:sectPr w:rsidR="00CC6C80" w:rsidRPr="00453424" w:rsidSect="00842AB0">
      <w:footerReference w:type="even" r:id="rId8"/>
      <w:footerReference w:type="default" r:id="rId9"/>
      <w:pgSz w:w="11906" w:h="16838"/>
      <w:pgMar w:top="2098" w:right="1474" w:bottom="1985" w:left="1588" w:header="851" w:footer="147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CE" w:rsidRDefault="008E75CE">
      <w:r>
        <w:separator/>
      </w:r>
    </w:p>
  </w:endnote>
  <w:endnote w:type="continuationSeparator" w:id="0">
    <w:p w:rsidR="008E75CE" w:rsidRDefault="008E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D0" w:rsidRPr="00CC6C80" w:rsidRDefault="00CC6C80" w:rsidP="00CC6C80">
    <w:pPr>
      <w:pStyle w:val="a4"/>
      <w:ind w:firstLineChars="100" w:firstLine="280"/>
      <w:rPr>
        <w:rFonts w:ascii="宋体" w:eastAsia="宋体"/>
        <w:sz w:val="28"/>
      </w:rPr>
    </w:pPr>
    <w:r w:rsidRPr="00C62753">
      <w:rPr>
        <w:rFonts w:ascii="宋体" w:eastAsia="宋体"/>
        <w:sz w:val="28"/>
      </w:rPr>
      <w:t>—</w:t>
    </w:r>
    <w:r w:rsidRPr="00C62753">
      <w:rPr>
        <w:rFonts w:ascii="宋体" w:eastAsia="宋体"/>
        <w:sz w:val="28"/>
      </w:rPr>
      <w:t xml:space="preserve"> </w:t>
    </w:r>
    <w:r w:rsidRPr="00C62753">
      <w:rPr>
        <w:rFonts w:ascii="宋体" w:eastAsia="宋体"/>
        <w:sz w:val="28"/>
      </w:rPr>
      <w:fldChar w:fldCharType="begin"/>
    </w:r>
    <w:r w:rsidRPr="00C62753">
      <w:rPr>
        <w:rFonts w:ascii="宋体" w:eastAsia="宋体"/>
        <w:sz w:val="28"/>
      </w:rPr>
      <w:instrText>PAGE   \* MERGEFORMAT</w:instrText>
    </w:r>
    <w:r w:rsidRPr="00C62753">
      <w:rPr>
        <w:rFonts w:ascii="宋体" w:eastAsia="宋体"/>
        <w:sz w:val="28"/>
      </w:rPr>
      <w:fldChar w:fldCharType="separate"/>
    </w:r>
    <w:r w:rsidR="009D0AC2" w:rsidRPr="009D0AC2">
      <w:rPr>
        <w:rFonts w:ascii="宋体" w:eastAsia="宋体"/>
        <w:noProof/>
        <w:sz w:val="28"/>
        <w:lang w:val="zh-CN"/>
      </w:rPr>
      <w:t>2</w:t>
    </w:r>
    <w:r w:rsidRPr="00C62753">
      <w:rPr>
        <w:rFonts w:ascii="宋体" w:eastAsia="宋体"/>
        <w:sz w:val="28"/>
      </w:rPr>
      <w:fldChar w:fldCharType="end"/>
    </w:r>
    <w:r w:rsidRPr="00C62753">
      <w:rPr>
        <w:rFonts w:ascii="宋体" w:eastAsia="宋体"/>
        <w:sz w:val="28"/>
      </w:rPr>
      <w:t xml:space="preserve"> </w:t>
    </w:r>
    <w:r w:rsidRPr="00C62753">
      <w:rPr>
        <w:rFonts w:asci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80" w:rsidRPr="00CC6C80" w:rsidRDefault="00CC6C80" w:rsidP="00CC6C80">
    <w:pPr>
      <w:pStyle w:val="a4"/>
      <w:wordWrap w:val="0"/>
      <w:ind w:firstLineChars="100" w:firstLine="280"/>
      <w:jc w:val="right"/>
      <w:rPr>
        <w:rFonts w:ascii="宋体" w:eastAsia="宋体"/>
        <w:sz w:val="28"/>
      </w:rPr>
    </w:pPr>
    <w:r w:rsidRPr="00C62753">
      <w:rPr>
        <w:rFonts w:ascii="宋体" w:eastAsia="宋体"/>
        <w:sz w:val="28"/>
      </w:rPr>
      <w:t>—</w:t>
    </w:r>
    <w:r w:rsidRPr="00C62753">
      <w:rPr>
        <w:rFonts w:ascii="宋体" w:eastAsia="宋体"/>
        <w:sz w:val="28"/>
      </w:rPr>
      <w:t xml:space="preserve"> </w:t>
    </w:r>
    <w:r w:rsidRPr="00C62753">
      <w:rPr>
        <w:rFonts w:ascii="宋体" w:eastAsia="宋体"/>
        <w:sz w:val="28"/>
      </w:rPr>
      <w:fldChar w:fldCharType="begin"/>
    </w:r>
    <w:r w:rsidRPr="00C62753">
      <w:rPr>
        <w:rFonts w:ascii="宋体" w:eastAsia="宋体"/>
        <w:sz w:val="28"/>
      </w:rPr>
      <w:instrText>PAGE   \* MERGEFORMAT</w:instrText>
    </w:r>
    <w:r w:rsidRPr="00C62753">
      <w:rPr>
        <w:rFonts w:ascii="宋体" w:eastAsia="宋体"/>
        <w:sz w:val="28"/>
      </w:rPr>
      <w:fldChar w:fldCharType="separate"/>
    </w:r>
    <w:r w:rsidR="009D0AC2" w:rsidRPr="009D0AC2">
      <w:rPr>
        <w:rFonts w:ascii="宋体" w:eastAsia="宋体"/>
        <w:noProof/>
        <w:sz w:val="28"/>
        <w:lang w:val="zh-CN"/>
      </w:rPr>
      <w:t>1</w:t>
    </w:r>
    <w:r w:rsidRPr="00C62753">
      <w:rPr>
        <w:rFonts w:ascii="宋体" w:eastAsia="宋体"/>
        <w:sz w:val="28"/>
      </w:rPr>
      <w:fldChar w:fldCharType="end"/>
    </w:r>
    <w:r w:rsidRPr="00C62753">
      <w:rPr>
        <w:rFonts w:ascii="宋体" w:eastAsia="宋体"/>
        <w:sz w:val="28"/>
      </w:rPr>
      <w:t xml:space="preserve"> </w:t>
    </w:r>
    <w:r w:rsidRPr="00C62753">
      <w:rPr>
        <w:rFonts w:ascii="宋体" w:eastAsia="宋体"/>
        <w:sz w:val="28"/>
      </w:rPr>
      <w:t>—</w:t>
    </w:r>
    <w:r>
      <w:rPr>
        <w:rFonts w:ascii="宋体" w:eastAsia="宋体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CE" w:rsidRDefault="008E75CE">
      <w:r>
        <w:separator/>
      </w:r>
    </w:p>
  </w:footnote>
  <w:footnote w:type="continuationSeparator" w:id="0">
    <w:p w:rsidR="008E75CE" w:rsidRDefault="008E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4D55102"/>
    <w:multiLevelType w:val="singleLevel"/>
    <w:tmpl w:val="D4D55102"/>
    <w:lvl w:ilvl="0">
      <w:start w:val="2"/>
      <w:numFmt w:val="decimal"/>
      <w:suff w:val="space"/>
      <w:lvlText w:val="%1."/>
      <w:lvlJc w:val="left"/>
    </w:lvl>
  </w:abstractNum>
  <w:abstractNum w:abstractNumId="1">
    <w:nsid w:val="485BC4C9"/>
    <w:multiLevelType w:val="singleLevel"/>
    <w:tmpl w:val="485BC4C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8C"/>
    <w:rsid w:val="0001598C"/>
    <w:rsid w:val="000458E2"/>
    <w:rsid w:val="00051092"/>
    <w:rsid w:val="000C1CE0"/>
    <w:rsid w:val="000F1FC7"/>
    <w:rsid w:val="00105A87"/>
    <w:rsid w:val="001337CC"/>
    <w:rsid w:val="00141D0C"/>
    <w:rsid w:val="0015013C"/>
    <w:rsid w:val="00173A8A"/>
    <w:rsid w:val="00194D88"/>
    <w:rsid w:val="001A102D"/>
    <w:rsid w:val="001A47DB"/>
    <w:rsid w:val="001A661D"/>
    <w:rsid w:val="001B3B7B"/>
    <w:rsid w:val="001C08EF"/>
    <w:rsid w:val="001D2C94"/>
    <w:rsid w:val="001F6661"/>
    <w:rsid w:val="00207FD2"/>
    <w:rsid w:val="00235597"/>
    <w:rsid w:val="00255B37"/>
    <w:rsid w:val="00260883"/>
    <w:rsid w:val="00283667"/>
    <w:rsid w:val="002C6AEA"/>
    <w:rsid w:val="002F71E7"/>
    <w:rsid w:val="0033398C"/>
    <w:rsid w:val="00343783"/>
    <w:rsid w:val="003841FE"/>
    <w:rsid w:val="003D18BC"/>
    <w:rsid w:val="0040390B"/>
    <w:rsid w:val="00414ECB"/>
    <w:rsid w:val="004478C2"/>
    <w:rsid w:val="00457E2A"/>
    <w:rsid w:val="0046215D"/>
    <w:rsid w:val="00465B8A"/>
    <w:rsid w:val="004953B0"/>
    <w:rsid w:val="004A41C7"/>
    <w:rsid w:val="00503F4F"/>
    <w:rsid w:val="00520C67"/>
    <w:rsid w:val="0055487F"/>
    <w:rsid w:val="005B3047"/>
    <w:rsid w:val="005D0DCB"/>
    <w:rsid w:val="005D1C9F"/>
    <w:rsid w:val="005D670E"/>
    <w:rsid w:val="005D7EC6"/>
    <w:rsid w:val="005E7A3C"/>
    <w:rsid w:val="0061101B"/>
    <w:rsid w:val="00627185"/>
    <w:rsid w:val="0066506C"/>
    <w:rsid w:val="006B4310"/>
    <w:rsid w:val="006E1A87"/>
    <w:rsid w:val="006E4A5B"/>
    <w:rsid w:val="006F1746"/>
    <w:rsid w:val="0071343F"/>
    <w:rsid w:val="007176D1"/>
    <w:rsid w:val="0072442A"/>
    <w:rsid w:val="007312A6"/>
    <w:rsid w:val="00735B69"/>
    <w:rsid w:val="007647FC"/>
    <w:rsid w:val="007D231A"/>
    <w:rsid w:val="007E0010"/>
    <w:rsid w:val="007F7008"/>
    <w:rsid w:val="007F7A5C"/>
    <w:rsid w:val="008029C6"/>
    <w:rsid w:val="0082035E"/>
    <w:rsid w:val="00842AB0"/>
    <w:rsid w:val="00842B24"/>
    <w:rsid w:val="00861C03"/>
    <w:rsid w:val="00866126"/>
    <w:rsid w:val="0087473E"/>
    <w:rsid w:val="00884FEC"/>
    <w:rsid w:val="008D5F38"/>
    <w:rsid w:val="008E53C4"/>
    <w:rsid w:val="008E75CE"/>
    <w:rsid w:val="00910BB5"/>
    <w:rsid w:val="00964D50"/>
    <w:rsid w:val="00993372"/>
    <w:rsid w:val="009A30BB"/>
    <w:rsid w:val="009D0AC2"/>
    <w:rsid w:val="00A12257"/>
    <w:rsid w:val="00A14ADA"/>
    <w:rsid w:val="00A14B66"/>
    <w:rsid w:val="00A171D6"/>
    <w:rsid w:val="00A37842"/>
    <w:rsid w:val="00A37F1D"/>
    <w:rsid w:val="00A60C60"/>
    <w:rsid w:val="00AB51AE"/>
    <w:rsid w:val="00AB5AEC"/>
    <w:rsid w:val="00AC1654"/>
    <w:rsid w:val="00AF7E10"/>
    <w:rsid w:val="00B164D6"/>
    <w:rsid w:val="00B31058"/>
    <w:rsid w:val="00B346F4"/>
    <w:rsid w:val="00B5415D"/>
    <w:rsid w:val="00B561B4"/>
    <w:rsid w:val="00BA5E10"/>
    <w:rsid w:val="00BC3922"/>
    <w:rsid w:val="00C02C1C"/>
    <w:rsid w:val="00C137CA"/>
    <w:rsid w:val="00C2102B"/>
    <w:rsid w:val="00C31FE1"/>
    <w:rsid w:val="00C34BF9"/>
    <w:rsid w:val="00C541A4"/>
    <w:rsid w:val="00C666A2"/>
    <w:rsid w:val="00C7061F"/>
    <w:rsid w:val="00CA4ACA"/>
    <w:rsid w:val="00CC6C80"/>
    <w:rsid w:val="00D034D0"/>
    <w:rsid w:val="00D05879"/>
    <w:rsid w:val="00D2140C"/>
    <w:rsid w:val="00D33FA4"/>
    <w:rsid w:val="00D4142A"/>
    <w:rsid w:val="00D546BC"/>
    <w:rsid w:val="00D54A35"/>
    <w:rsid w:val="00DD5359"/>
    <w:rsid w:val="00DD73DC"/>
    <w:rsid w:val="00E01CD6"/>
    <w:rsid w:val="00E077A8"/>
    <w:rsid w:val="00E7514E"/>
    <w:rsid w:val="00EB7436"/>
    <w:rsid w:val="00ED4728"/>
    <w:rsid w:val="00EE74D4"/>
    <w:rsid w:val="00EF1EF9"/>
    <w:rsid w:val="00F1142F"/>
    <w:rsid w:val="00F11DA2"/>
    <w:rsid w:val="00F40243"/>
    <w:rsid w:val="00F66829"/>
    <w:rsid w:val="00F86B6B"/>
    <w:rsid w:val="00FA3963"/>
    <w:rsid w:val="00FB2F87"/>
    <w:rsid w:val="00FD0742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C78B6-DB6C-45F6-ABDD-7A032A56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方正仿宋_GBK" w:cs="Arial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Date"/>
    <w:basedOn w:val="a"/>
    <w:next w:val="a"/>
    <w:pPr>
      <w:ind w:leftChars="2500" w:left="2500"/>
    </w:pPr>
  </w:style>
  <w:style w:type="character" w:customStyle="1" w:styleId="UnresolvedMention">
    <w:name w:val="Unresolved Mention"/>
    <w:basedOn w:val="a0"/>
    <w:rPr>
      <w:color w:val="808080"/>
      <w:shd w:val="clear" w:color="auto" w:fill="E6E6E6"/>
    </w:rPr>
  </w:style>
  <w:style w:type="paragraph" w:customStyle="1" w:styleId="2A">
    <w:name w:val="小标题 2 A"/>
    <w:next w:val="a"/>
    <w:pPr>
      <w:widowControl w:val="0"/>
      <w:spacing w:before="200" w:after="140"/>
      <w:jc w:val="both"/>
      <w:outlineLvl w:val="1"/>
    </w:pPr>
    <w:rPr>
      <w:rFonts w:ascii="Arial Unicode MS" w:eastAsia="Arial Unicode MS" w:cs="Arial Unicode MS"/>
      <w:color w:val="357CA2"/>
      <w:sz w:val="22"/>
      <w:szCs w:val="22"/>
      <w:u w:color="357CA2"/>
      <w:lang w:val="zh-TW" w:eastAsia="zh-TW"/>
    </w:rPr>
  </w:style>
  <w:style w:type="paragraph" w:styleId="aa">
    <w:name w:val="List Paragraph"/>
    <w:basedOn w:val="a"/>
    <w:pPr>
      <w:ind w:firstLineChars="200" w:firstLine="200"/>
    </w:pPr>
  </w:style>
  <w:style w:type="paragraph" w:customStyle="1" w:styleId="CharChar">
    <w:name w:val="Char Char"/>
    <w:basedOn w:val="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0"/>
      <w:szCs w:val="20"/>
    </w:rPr>
  </w:style>
  <w:style w:type="paragraph" w:styleId="ab">
    <w:name w:val="Body Text"/>
    <w:basedOn w:val="a"/>
    <w:pPr>
      <w:spacing w:line="360" w:lineRule="auto"/>
      <w:jc w:val="center"/>
    </w:pPr>
    <w:rPr>
      <w:rFonts w:eastAsia="方正小标宋简体" w:cs="Times New Roman"/>
      <w:spacing w:val="26"/>
      <w:sz w:val="44"/>
    </w:rPr>
  </w:style>
  <w:style w:type="character" w:customStyle="1" w:styleId="Char">
    <w:name w:val="页脚 Char"/>
    <w:basedOn w:val="a0"/>
    <w:link w:val="a4"/>
    <w:uiPriority w:val="99"/>
    <w:qFormat/>
    <w:rsid w:val="008D5F38"/>
    <w:rPr>
      <w:rFonts w:eastAsia="方正仿宋_GBK" w:cs="Arial"/>
      <w:kern w:val="2"/>
      <w:sz w:val="18"/>
      <w:szCs w:val="18"/>
    </w:rPr>
  </w:style>
  <w:style w:type="character" w:customStyle="1" w:styleId="font61">
    <w:name w:val="font61"/>
    <w:basedOn w:val="a0"/>
    <w:qFormat/>
    <w:rsid w:val="0061101B"/>
    <w:rPr>
      <w:rFonts w:ascii="方正仿宋_GB2312" w:eastAsia="方正仿宋_GB2312" w:hAnsi="方正仿宋_GB2312" w:cs="方正仿宋_GB2312" w:hint="eastAsia"/>
      <w:color w:val="000000"/>
      <w:sz w:val="23"/>
      <w:szCs w:val="23"/>
      <w:u w:val="none"/>
    </w:rPr>
  </w:style>
  <w:style w:type="character" w:customStyle="1" w:styleId="font71">
    <w:name w:val="font71"/>
    <w:basedOn w:val="a0"/>
    <w:qFormat/>
    <w:rsid w:val="0061101B"/>
    <w:rPr>
      <w:rFonts w:ascii="Times New Roman" w:hAnsi="Times New Roman" w:cs="Times New Roman" w:hint="default"/>
      <w:color w:val="000000"/>
      <w:sz w:val="23"/>
      <w:szCs w:val="23"/>
      <w:u w:val="none"/>
    </w:rPr>
  </w:style>
  <w:style w:type="paragraph" w:styleId="20">
    <w:name w:val="Body Text Indent 2"/>
    <w:basedOn w:val="a"/>
    <w:link w:val="2Char"/>
    <w:uiPriority w:val="99"/>
    <w:semiHidden/>
    <w:unhideWhenUsed/>
    <w:rsid w:val="005E7A3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semiHidden/>
    <w:rsid w:val="005E7A3C"/>
    <w:rPr>
      <w:rFonts w:eastAsia="方正仿宋_GBK" w:cs="Arial"/>
      <w:kern w:val="2"/>
      <w:sz w:val="32"/>
      <w:szCs w:val="24"/>
    </w:rPr>
  </w:style>
  <w:style w:type="table" w:styleId="ac">
    <w:name w:val="Table Grid"/>
    <w:basedOn w:val="a1"/>
    <w:uiPriority w:val="39"/>
    <w:qFormat/>
    <w:rsid w:val="001D2C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5451-3BC3-45F0-807E-6DF20D97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丫丫卷卷</dc:creator>
  <cp:lastModifiedBy>wangyanqiao</cp:lastModifiedBy>
  <cp:revision>6</cp:revision>
  <cp:lastPrinted>2023-11-01T07:18:00Z</cp:lastPrinted>
  <dcterms:created xsi:type="dcterms:W3CDTF">2023-11-01T01:58:00Z</dcterms:created>
  <dcterms:modified xsi:type="dcterms:W3CDTF">2023-11-02T08:35:00Z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