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85" w:rsidRDefault="003A4985" w:rsidP="003A4985">
      <w:pPr>
        <w:pStyle w:val="a5"/>
        <w:spacing w:before="0" w:beforeAutospacing="0" w:after="0" w:afterAutospacing="0"/>
        <w:jc w:val="center"/>
        <w:rPr>
          <w:rFonts w:ascii="方正小标宋简体" w:eastAsia="方正小标宋简体" w:hint="eastAsia"/>
          <w:sz w:val="44"/>
          <w:szCs w:val="44"/>
        </w:rPr>
      </w:pPr>
      <w:r w:rsidRPr="003A4985">
        <w:rPr>
          <w:rFonts w:ascii="方正小标宋简体" w:eastAsia="方正小标宋简体" w:hint="eastAsia"/>
          <w:sz w:val="44"/>
          <w:szCs w:val="44"/>
        </w:rPr>
        <w:t>《无锡市促进新能源产业发展若干政策》</w:t>
      </w:r>
    </w:p>
    <w:p w:rsidR="00437CB4" w:rsidRPr="003A4985" w:rsidRDefault="003A4985" w:rsidP="003A4985">
      <w:pPr>
        <w:pStyle w:val="a5"/>
        <w:spacing w:before="0" w:beforeAutospacing="0" w:after="0" w:afterAutospacing="0"/>
        <w:jc w:val="center"/>
        <w:rPr>
          <w:rFonts w:ascii="方正小标宋简体" w:eastAsia="方正小标宋简体" w:hAnsi="Helvetica" w:cs="Helvetica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政策</w:t>
      </w:r>
      <w:r w:rsidRPr="003A4985">
        <w:rPr>
          <w:rFonts w:ascii="方正小标宋简体" w:eastAsia="方正小标宋简体" w:hint="eastAsia"/>
          <w:sz w:val="44"/>
          <w:szCs w:val="44"/>
        </w:rPr>
        <w:t>解读</w:t>
      </w:r>
    </w:p>
    <w:p w:rsidR="009F7F8F" w:rsidRPr="00CA0352" w:rsidRDefault="00674DDA" w:rsidP="00437CB4">
      <w:pPr>
        <w:pStyle w:val="a5"/>
        <w:rPr>
          <w:rFonts w:ascii="黑体" w:eastAsia="黑体" w:hAnsi="黑体" w:cs="Helvetica" w:hint="eastAsia"/>
          <w:color w:val="000000"/>
          <w:sz w:val="32"/>
          <w:szCs w:val="32"/>
        </w:rPr>
      </w:pPr>
      <w:r w:rsidRPr="00CA0352">
        <w:rPr>
          <w:rFonts w:ascii="黑体" w:eastAsia="黑体" w:hAnsi="黑体" w:cs="Helvetica" w:hint="eastAsia"/>
          <w:color w:val="000000"/>
          <w:sz w:val="32"/>
          <w:szCs w:val="32"/>
        </w:rPr>
        <w:t>一、背景依据</w:t>
      </w:r>
    </w:p>
    <w:p w:rsidR="00674DDA" w:rsidRPr="00CA0352" w:rsidRDefault="00437CB4" w:rsidP="00CA0352">
      <w:pPr>
        <w:pStyle w:val="a5"/>
        <w:ind w:firstLineChars="200" w:firstLine="640"/>
        <w:rPr>
          <w:rFonts w:ascii="方正仿宋_GBK" w:eastAsia="方正仿宋_GBK" w:hAnsi="Helvetica" w:cs="Helvetica" w:hint="eastAsia"/>
          <w:color w:val="000000"/>
          <w:sz w:val="32"/>
          <w:szCs w:val="32"/>
        </w:rPr>
      </w:pPr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新能源产业作为无锡的千亿级优势产业，起步较早，具有良好的发展条件和优势，光伏、风电等优势领域快速扩张，氢能、储能等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未来领域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潜力巨大，核电、生物质能等其他领域稳步推进。但是近年来统筹布局不协调、总量规模偏小、行业地位下降，迫切需要抓发展、促振兴。</w:t>
      </w:r>
    </w:p>
    <w:p w:rsidR="00674DDA" w:rsidRPr="00CA0352" w:rsidRDefault="00674DDA" w:rsidP="00674DDA">
      <w:pPr>
        <w:pStyle w:val="a5"/>
        <w:rPr>
          <w:rFonts w:ascii="黑体" w:eastAsia="黑体" w:hAnsi="黑体" w:cs="Helvetica" w:hint="eastAsia"/>
          <w:color w:val="000000"/>
          <w:sz w:val="32"/>
          <w:szCs w:val="32"/>
        </w:rPr>
      </w:pPr>
      <w:r w:rsidRPr="00CA0352">
        <w:rPr>
          <w:rFonts w:ascii="黑体" w:eastAsia="黑体" w:hAnsi="黑体" w:cs="Helvetica" w:hint="eastAsia"/>
          <w:color w:val="000000"/>
          <w:sz w:val="32"/>
          <w:szCs w:val="32"/>
        </w:rPr>
        <w:t>二、主要目标</w:t>
      </w:r>
    </w:p>
    <w:p w:rsidR="009F7F8F" w:rsidRPr="00CA0352" w:rsidRDefault="00437CB4" w:rsidP="00CA0352">
      <w:pPr>
        <w:pStyle w:val="a5"/>
        <w:ind w:firstLineChars="200" w:firstLine="640"/>
        <w:rPr>
          <w:rFonts w:ascii="方正仿宋_GBK" w:eastAsia="方正仿宋_GBK" w:hAnsi="Helvetica" w:cs="Helvetica" w:hint="eastAsia"/>
          <w:color w:val="000000"/>
          <w:sz w:val="32"/>
          <w:szCs w:val="32"/>
        </w:rPr>
      </w:pPr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为贯彻落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实习近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平总书记对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碳达峰碳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中和一系列重要讲话和重要指示精神，加快构建清洁低碳、安全高效的新能源产业集群，支撑我市“465”现代产业集群高水平建设，在市委市政府的领导下，研究出台了《无锡市促进新能源产业发展若干政策》（以下简称《若干政策》）</w:t>
      </w:r>
    </w:p>
    <w:p w:rsidR="00CA0352" w:rsidRPr="00CA0352" w:rsidRDefault="00CA0352" w:rsidP="00CA0352">
      <w:pPr>
        <w:pStyle w:val="a5"/>
        <w:rPr>
          <w:rFonts w:ascii="黑体" w:eastAsia="黑体" w:hAnsi="黑体" w:cs="Helvetica" w:hint="eastAsia"/>
          <w:color w:val="000000"/>
          <w:sz w:val="32"/>
          <w:szCs w:val="32"/>
        </w:rPr>
      </w:pPr>
      <w:r w:rsidRPr="00CA0352">
        <w:rPr>
          <w:rFonts w:ascii="黑体" w:eastAsia="黑体" w:hAnsi="黑体" w:cs="Helvetica" w:hint="eastAsia"/>
          <w:color w:val="000000"/>
          <w:sz w:val="32"/>
          <w:szCs w:val="32"/>
        </w:rPr>
        <w:t>三、主要问题</w:t>
      </w:r>
    </w:p>
    <w:p w:rsidR="009F7F8F" w:rsidRPr="00CA0352" w:rsidRDefault="00437CB4" w:rsidP="00CA0352">
      <w:pPr>
        <w:pStyle w:val="a5"/>
        <w:ind w:firstLineChars="200" w:firstLine="640"/>
        <w:rPr>
          <w:rFonts w:ascii="方正仿宋_GBK" w:eastAsia="方正仿宋_GBK" w:hAnsi="Helvetica" w:cs="Helvetica" w:hint="eastAsia"/>
          <w:color w:val="000000"/>
          <w:sz w:val="32"/>
          <w:szCs w:val="32"/>
        </w:rPr>
      </w:pPr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《若干政策》的特点共有六个方面。一是我市首个新能源专项政策，二是注重产业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链关键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环节精准扶持，三是注重整合现有政策实现联动发展，四是注重利用市场化政策工具</w:t>
      </w:r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lastRenderedPageBreak/>
        <w:t>撬动社会资本，五是注重强化新能源领域“放管服”政策，六是注重本土企业发展和新招引项目并重。</w:t>
      </w:r>
    </w:p>
    <w:p w:rsidR="00CA0352" w:rsidRPr="00CA0352" w:rsidRDefault="00CA0352" w:rsidP="00CA0352">
      <w:pPr>
        <w:pStyle w:val="a5"/>
        <w:rPr>
          <w:rFonts w:ascii="黑体" w:eastAsia="黑体" w:hAnsi="黑体" w:cs="Helvetica" w:hint="eastAsia"/>
          <w:color w:val="000000"/>
          <w:sz w:val="32"/>
          <w:szCs w:val="32"/>
        </w:rPr>
      </w:pPr>
      <w:r w:rsidRPr="00CA0352">
        <w:rPr>
          <w:rFonts w:ascii="黑体" w:eastAsia="黑体" w:hAnsi="黑体" w:cs="Helvetica" w:hint="eastAsia"/>
          <w:color w:val="000000"/>
          <w:sz w:val="32"/>
          <w:szCs w:val="32"/>
        </w:rPr>
        <w:t>四、解决问题</w:t>
      </w:r>
    </w:p>
    <w:p w:rsidR="009F7F8F" w:rsidRPr="00CA0352" w:rsidRDefault="00437CB4" w:rsidP="00CA0352">
      <w:pPr>
        <w:pStyle w:val="a5"/>
        <w:ind w:firstLineChars="200" w:firstLine="640"/>
        <w:rPr>
          <w:rFonts w:ascii="方正仿宋_GBK" w:eastAsia="方正仿宋_GBK" w:hAnsi="Helvetica" w:cs="Helvetica" w:hint="eastAsia"/>
          <w:color w:val="000000"/>
          <w:sz w:val="32"/>
          <w:szCs w:val="32"/>
        </w:rPr>
      </w:pPr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《若干政策》统筹相关专项资金加大对新能源产业的扶持力度，重点支持的新能源产业主要包括太阳能光伏、风电、氢能、储能、核能、生物质能等领域，从4个方向提出了25条具体政策。</w:t>
      </w:r>
    </w:p>
    <w:p w:rsidR="009F7F8F" w:rsidRPr="00CA0352" w:rsidRDefault="00437CB4" w:rsidP="00CA0352">
      <w:pPr>
        <w:pStyle w:val="a5"/>
        <w:ind w:firstLineChars="200" w:firstLine="640"/>
        <w:rPr>
          <w:rFonts w:ascii="方正仿宋_GBK" w:eastAsia="方正仿宋_GBK" w:hAnsi="Helvetica" w:cs="Helvetica" w:hint="eastAsia"/>
          <w:color w:val="000000"/>
          <w:sz w:val="32"/>
          <w:szCs w:val="32"/>
        </w:rPr>
      </w:pPr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第一个方向是侧重支持产业做大做强。包括支持核心技术攻关、创新平台建设、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产线迭代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升级、重大项目招引和建设、市场主体发展、总部经济发展、产业园区建设、高端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人才引育等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8条政策措施。具体政策措施包括：对技术含量高、产业带动性强、经济社会效益显著的核心技术攻关项目给予一定资助；对符合条件的国家级、省级、市级各类新能源创新平台能力建设项目择优支持；对符合条件的智能制造示范项目择优给予补助；鼓励新能源企业改造升级原有产线，对符合条件的投资项目给予补助；对新能源总部企业、新能源特色园区给予支持，对特色园区内社会资本投资的厂房改造、产业置换等园区项目，给予一定奖励；属地政府对新能源企业入驻其投资建设的创新型产业用房，给予房租减免等。</w:t>
      </w:r>
    </w:p>
    <w:p w:rsidR="009F7F8F" w:rsidRPr="00CA0352" w:rsidRDefault="00437CB4" w:rsidP="00CA0352">
      <w:pPr>
        <w:pStyle w:val="a5"/>
        <w:ind w:firstLineChars="200" w:firstLine="640"/>
        <w:rPr>
          <w:rFonts w:ascii="方正仿宋_GBK" w:eastAsia="方正仿宋_GBK" w:hAnsi="Helvetica" w:cs="Helvetica" w:hint="eastAsia"/>
          <w:color w:val="000000"/>
          <w:sz w:val="32"/>
          <w:szCs w:val="32"/>
        </w:rPr>
      </w:pPr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lastRenderedPageBreak/>
        <w:t>第二个方向是侧重支持新能源示范应用。包括公共机构光伏应用、公共领域新能源车船推广、储能规模化应用、加氢站布局和建设、氢能在工业、发电领域应用等5条政策措施。在公共机构光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伏应用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方面，对纳入全国整县（市、区）屋顶分布式光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伏开发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试点的地区，按其年度实际发放光伏发电专项补贴总额的30%进行补助；其他地区最高按照15%进行补助；对于建成国家整县屋顶分布式光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伏试点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示范的地区视情给予奖励。对社会资本投资建成并网的公共机构光伏项目，按最高0.3元／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瓦标准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给予投资主体建设奖励。在公共领域新能源车船推广方面，对示范应用的氢燃料电池汽车和船舶按照最高不超过50%的单车（船）购置改造费用给予一定补贴。在储能规模化应用方面，对社会资本投资建设装机容量1兆瓦及以上的新型储能电站，自并网投运次月起按放电量给予投资主体不超过0.3元/千瓦时奖励。在加氢站布局和建设方面，国有资本（集体资本）、混合所有制资本或社会资本参与新建、改建、扩建的加氢站，给予一定补贴；加氢站按照年度氢气实际销售量给予补助；对从事车用氢气高效运输的企业给予适当支持。在氢能多元化领域应用方面，对于我市企业投资建设的分布式能源、热电联供系统等氢能示范项目，给予一次性投资补助。</w:t>
      </w:r>
    </w:p>
    <w:p w:rsidR="009F7F8F" w:rsidRPr="00CA0352" w:rsidRDefault="00437CB4" w:rsidP="00CA0352">
      <w:pPr>
        <w:pStyle w:val="a5"/>
        <w:ind w:firstLineChars="200" w:firstLine="640"/>
        <w:rPr>
          <w:rFonts w:ascii="方正仿宋_GBK" w:eastAsia="方正仿宋_GBK" w:hAnsi="Helvetica" w:cs="Helvetica" w:hint="eastAsia"/>
          <w:color w:val="000000"/>
          <w:sz w:val="32"/>
          <w:szCs w:val="32"/>
        </w:rPr>
      </w:pPr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第三个方向是侧重支持“放管服”改革。包括优化用能管理、促进绿色电力消费、强化要素保障、完善安全监管体</w:t>
      </w:r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lastRenderedPageBreak/>
        <w:t>系、简化并网流程、优化审批服务等6条政策措施。具体政策措施包括：新增可再生能源消费总量不纳入地区能源消费总量考核，对推广分布式光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伏较好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的地区在年度能源消费总量上给予适当倾斜；对利用工业和商业屋顶建设分布式光伏的企业，在执行电力负荷管理时，降低一级管理等级，优先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审批因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转型升级所需的电力增容需求；工商业企业分布式光伏发电系统所发电量计入企业节能量，在年度节能目标考核中予以扣减；鼓励行业龙头企业、高新技术企业、大型国有企业等消费绿色电力，逐步提升绿色电力消费比例；发挥“无锡－青海海东市”东西部对口支援、“无锡－连云港”南北合作的优势，积极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引进绿电资源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；对列入重大项目清单的项目给予重点服务，依法依规强化财政、土地、能耗、环境容量等资源要素保障；积极向上争取生态环境容量指标，对主要污染物排放总量指标较大的省市重大新能源产业项目，纳入排污总量指标重点保障范围，通过市（县）、区区域统筹协调解决等。</w:t>
      </w:r>
    </w:p>
    <w:p w:rsidR="00437CB4" w:rsidRPr="00CA0352" w:rsidRDefault="00437CB4" w:rsidP="00CA0352">
      <w:pPr>
        <w:pStyle w:val="a5"/>
        <w:ind w:firstLineChars="200" w:firstLine="640"/>
        <w:rPr>
          <w:rFonts w:ascii="方正仿宋_GBK" w:eastAsia="方正仿宋_GBK" w:hAnsi="Helvetica" w:cs="Helvetica" w:hint="eastAsia"/>
          <w:color w:val="000000"/>
          <w:sz w:val="32"/>
          <w:szCs w:val="32"/>
        </w:rPr>
      </w:pPr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第四个方向是侧重支持营造市场化产业生态。包括突出基金招商、推动企业创新成果应用、强化生态产品价值机制试点、探索实施差别化价格机制、扩大行业影响力、培育集群促进机构等6条政策措施。具体政策措施包括：在新能源产业领域整合设立总规模50亿元的无锡市新能源产业投资基金，重点投资新能源产业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链重大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项目和企业兼并重组、产</w:t>
      </w:r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lastRenderedPageBreak/>
        <w:t>能提升项目；支持有条件的地区率先探索建立生态产品价值实现机制，开展碳汇、</w:t>
      </w:r>
      <w:proofErr w:type="gramStart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绿电等</w:t>
      </w:r>
      <w:proofErr w:type="gramEnd"/>
      <w:r w:rsidRPr="00CA0352">
        <w:rPr>
          <w:rFonts w:ascii="方正仿宋_GBK" w:eastAsia="方正仿宋_GBK" w:hAnsi="Helvetica" w:cs="Helvetica" w:hint="eastAsia"/>
          <w:color w:val="000000"/>
          <w:sz w:val="32"/>
          <w:szCs w:val="32"/>
        </w:rPr>
        <w:t>方面权益类产品交易尝试，对于购买可再生能源电力消费量的企业，在电力负荷管理上给予一定保供支持；鼓励无锡市新能源产业集群促进组织，开展产业发展研究、政府决策咨询、人才培训与交流等产业服务工作，对经市认定的新能源产业集群促进组织，按其服务成效，分档择优给予支持等。</w:t>
      </w:r>
    </w:p>
    <w:p w:rsidR="00CB7FE8" w:rsidRPr="00437CB4" w:rsidRDefault="00CB7FE8"/>
    <w:sectPr w:rsidR="00CB7FE8" w:rsidRPr="00437CB4" w:rsidSect="00CB7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B8F" w:rsidRDefault="007E1B8F" w:rsidP="00437CB4">
      <w:pPr>
        <w:spacing w:after="0"/>
      </w:pPr>
      <w:r>
        <w:separator/>
      </w:r>
    </w:p>
  </w:endnote>
  <w:endnote w:type="continuationSeparator" w:id="0">
    <w:p w:rsidR="007E1B8F" w:rsidRDefault="007E1B8F" w:rsidP="00437C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B8F" w:rsidRDefault="007E1B8F" w:rsidP="00437CB4">
      <w:pPr>
        <w:spacing w:after="0"/>
      </w:pPr>
      <w:r>
        <w:separator/>
      </w:r>
    </w:p>
  </w:footnote>
  <w:footnote w:type="continuationSeparator" w:id="0">
    <w:p w:rsidR="007E1B8F" w:rsidRDefault="007E1B8F" w:rsidP="00437C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CB4"/>
    <w:rsid w:val="003A4985"/>
    <w:rsid w:val="00437CB4"/>
    <w:rsid w:val="00674DDA"/>
    <w:rsid w:val="007E1B8F"/>
    <w:rsid w:val="00971CAC"/>
    <w:rsid w:val="009F7F8F"/>
    <w:rsid w:val="00B60D69"/>
    <w:rsid w:val="00CA0352"/>
    <w:rsid w:val="00CB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CB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C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CB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7CB4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314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刘翼洲</dc:creator>
  <cp:keywords/>
  <dc:description/>
  <cp:lastModifiedBy>刘翼洲</cp:lastModifiedBy>
  <cp:revision>2</cp:revision>
  <dcterms:created xsi:type="dcterms:W3CDTF">2023-10-23T01:25:00Z</dcterms:created>
  <dcterms:modified xsi:type="dcterms:W3CDTF">2023-10-23T01:31:00Z</dcterms:modified>
</cp:coreProperties>
</file>